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52C1D" w14:textId="77777777" w:rsidR="004B4F6D" w:rsidRDefault="004B4F6D" w:rsidP="004B4F6D">
      <w:pPr>
        <w:pStyle w:val="BodyText3"/>
        <w:jc w:val="center"/>
        <w:rPr>
          <w:rFonts w:cs="Arial"/>
          <w:b/>
          <w:sz w:val="26"/>
          <w:szCs w:val="26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69FC533" wp14:editId="6A5D31FB">
            <wp:simplePos x="0" y="0"/>
            <wp:positionH relativeFrom="column">
              <wp:posOffset>2403475</wp:posOffset>
            </wp:positionH>
            <wp:positionV relativeFrom="paragraph">
              <wp:posOffset>0</wp:posOffset>
            </wp:positionV>
            <wp:extent cx="1035050" cy="1043940"/>
            <wp:effectExtent l="0" t="0" r="0" b="3810"/>
            <wp:wrapSquare wrapText="bothSides"/>
            <wp:docPr id="74" name="Picture 74" descr="NSW+Govt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NSW+Govt+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A3258" w14:textId="77777777" w:rsidR="004B4F6D" w:rsidRDefault="004B4F6D" w:rsidP="004B4F6D">
      <w:pPr>
        <w:pStyle w:val="BodyText3"/>
        <w:jc w:val="center"/>
        <w:rPr>
          <w:rFonts w:cs="Arial"/>
          <w:b/>
          <w:sz w:val="26"/>
          <w:szCs w:val="26"/>
          <w:lang w:val="en-AU"/>
        </w:rPr>
      </w:pPr>
    </w:p>
    <w:p w14:paraId="675A43B1" w14:textId="77777777" w:rsidR="004B4F6D" w:rsidRDefault="004B4F6D" w:rsidP="004B4F6D">
      <w:pPr>
        <w:pStyle w:val="BodyText3"/>
        <w:jc w:val="center"/>
        <w:rPr>
          <w:rFonts w:cs="Arial"/>
          <w:b/>
          <w:sz w:val="26"/>
          <w:szCs w:val="26"/>
          <w:lang w:val="en-AU"/>
        </w:rPr>
      </w:pPr>
    </w:p>
    <w:p w14:paraId="0CE3C275" w14:textId="77777777" w:rsidR="004B4F6D" w:rsidRDefault="004B4F6D" w:rsidP="004B4F6D">
      <w:pPr>
        <w:pStyle w:val="BodyText3"/>
        <w:jc w:val="center"/>
        <w:rPr>
          <w:rFonts w:cs="Arial"/>
          <w:b/>
          <w:sz w:val="26"/>
          <w:szCs w:val="26"/>
          <w:lang w:val="en-AU"/>
        </w:rPr>
      </w:pPr>
    </w:p>
    <w:p w14:paraId="18A7BE39" w14:textId="77777777" w:rsidR="004B4F6D" w:rsidRDefault="004B4F6D" w:rsidP="004B4F6D">
      <w:pPr>
        <w:pStyle w:val="BodyText3"/>
        <w:jc w:val="center"/>
        <w:rPr>
          <w:rFonts w:cs="Arial"/>
          <w:b/>
          <w:sz w:val="26"/>
          <w:szCs w:val="26"/>
          <w:lang w:val="en-AU"/>
        </w:rPr>
      </w:pPr>
    </w:p>
    <w:p w14:paraId="763961A0" w14:textId="77777777" w:rsidR="004B4F6D" w:rsidRDefault="004B4F6D" w:rsidP="004B4F6D">
      <w:pPr>
        <w:pStyle w:val="BodyText3"/>
        <w:jc w:val="center"/>
        <w:rPr>
          <w:rFonts w:cs="Arial"/>
          <w:b/>
          <w:sz w:val="26"/>
          <w:szCs w:val="26"/>
          <w:lang w:val="en-AU"/>
        </w:rPr>
      </w:pPr>
    </w:p>
    <w:p w14:paraId="12633DED" w14:textId="77777777" w:rsidR="004B4F6D" w:rsidRPr="00665AA3" w:rsidRDefault="004B4F6D" w:rsidP="004B4F6D">
      <w:pPr>
        <w:pStyle w:val="BodyText3"/>
        <w:jc w:val="center"/>
        <w:rPr>
          <w:rFonts w:cs="Arial"/>
          <w:b/>
          <w:sz w:val="26"/>
          <w:szCs w:val="26"/>
          <w:lang w:val="en-AU"/>
        </w:rPr>
      </w:pPr>
      <w:r w:rsidRPr="00971D18">
        <w:rPr>
          <w:rFonts w:cs="Arial"/>
          <w:b/>
          <w:sz w:val="26"/>
          <w:szCs w:val="26"/>
          <w:lang w:val="en-AU"/>
        </w:rPr>
        <w:t xml:space="preserve">PREQUALIFICATION SCHEME: AUDIT AND RISK COMMITTEE INDEPENDENT CHAIRS AND MEMBERS </w:t>
      </w:r>
    </w:p>
    <w:p w14:paraId="044B57E3" w14:textId="77777777" w:rsidR="004B4F6D" w:rsidRDefault="004B4F6D" w:rsidP="004B4F6D">
      <w:pPr>
        <w:pStyle w:val="BodyText3"/>
        <w:jc w:val="center"/>
        <w:rPr>
          <w:rFonts w:cs="Arial"/>
          <w:b/>
          <w:szCs w:val="22"/>
          <w:lang w:val="en-AU"/>
        </w:rPr>
      </w:pPr>
    </w:p>
    <w:p w14:paraId="59774813" w14:textId="010BAD04" w:rsidR="004B4F6D" w:rsidRPr="00665AA3" w:rsidRDefault="004B4F6D" w:rsidP="004B4F6D">
      <w:pPr>
        <w:pStyle w:val="Heading1"/>
        <w:jc w:val="center"/>
        <w:rPr>
          <w:lang w:val="en-AU"/>
        </w:rPr>
      </w:pPr>
      <w:r>
        <w:rPr>
          <w:lang w:val="en-AU"/>
        </w:rPr>
        <w:t>Application form</w:t>
      </w:r>
      <w:r w:rsidRPr="008A59E4">
        <w:rPr>
          <w:lang w:val="en-AU"/>
        </w:rPr>
        <w:t xml:space="preserve"> – </w:t>
      </w:r>
      <w:r w:rsidR="004B236C">
        <w:rPr>
          <w:lang w:val="en-AU"/>
        </w:rPr>
        <w:t>October 2020</w:t>
      </w:r>
      <w:bookmarkStart w:id="0" w:name="_GoBack"/>
      <w:bookmarkEnd w:id="0"/>
    </w:p>
    <w:p w14:paraId="5014EBF9" w14:textId="77777777" w:rsidR="004B4F6D" w:rsidRDefault="004B4F6D" w:rsidP="004B4F6D">
      <w:pPr>
        <w:pStyle w:val="BodyText3"/>
        <w:rPr>
          <w:rFonts w:cs="Arial"/>
          <w:szCs w:val="22"/>
          <w:lang w:val="en-AU"/>
        </w:rPr>
      </w:pPr>
    </w:p>
    <w:p w14:paraId="4DAD9EF3" w14:textId="3D52F38A" w:rsidR="004B4F6D" w:rsidRDefault="004B4F6D" w:rsidP="004B4F6D">
      <w:pPr>
        <w:pStyle w:val="BodyText3"/>
        <w:rPr>
          <w:rFonts w:cs="Arial"/>
          <w:szCs w:val="22"/>
          <w:lang w:val="en-AU"/>
        </w:rPr>
      </w:pPr>
      <w:r w:rsidRPr="0051588A">
        <w:rPr>
          <w:rFonts w:cs="Arial"/>
          <w:szCs w:val="22"/>
          <w:lang w:val="en-AU"/>
        </w:rPr>
        <w:t>Treasury</w:t>
      </w:r>
      <w:r w:rsidR="004B236C">
        <w:rPr>
          <w:rFonts w:cs="Arial"/>
          <w:szCs w:val="22"/>
          <w:lang w:val="en-AU"/>
        </w:rPr>
        <w:t xml:space="preserve"> i</w:t>
      </w:r>
      <w:r>
        <w:rPr>
          <w:rFonts w:cs="Arial"/>
          <w:szCs w:val="22"/>
          <w:lang w:val="en-AU"/>
        </w:rPr>
        <w:t>nvite</w:t>
      </w:r>
      <w:r w:rsidR="004B236C">
        <w:rPr>
          <w:rFonts w:cs="Arial"/>
          <w:szCs w:val="22"/>
          <w:lang w:val="en-AU"/>
        </w:rPr>
        <w:t>s</w:t>
      </w:r>
      <w:r>
        <w:rPr>
          <w:rFonts w:cs="Arial"/>
          <w:szCs w:val="22"/>
          <w:lang w:val="en-AU"/>
        </w:rPr>
        <w:t xml:space="preserve"> applications from candidates to apply for the prequalification scheme: Audit and Risk committee independent chairs and members.</w:t>
      </w:r>
    </w:p>
    <w:p w14:paraId="18B7B4E9" w14:textId="77777777" w:rsidR="004B4F6D" w:rsidRDefault="004B4F6D" w:rsidP="004B4F6D">
      <w:pPr>
        <w:pStyle w:val="BodyText3"/>
        <w:rPr>
          <w:rFonts w:cs="Arial"/>
          <w:szCs w:val="22"/>
          <w:lang w:val="en-AU"/>
        </w:rPr>
      </w:pPr>
    </w:p>
    <w:p w14:paraId="48521B62" w14:textId="77777777" w:rsidR="004B4F6D" w:rsidRDefault="004B4F6D" w:rsidP="004B4F6D">
      <w:pPr>
        <w:pStyle w:val="BodyText3"/>
        <w:rPr>
          <w:rFonts w:cs="Arial"/>
          <w:szCs w:val="22"/>
          <w:lang w:val="en-AU"/>
        </w:rPr>
      </w:pPr>
      <w:r>
        <w:rPr>
          <w:rFonts w:cs="Arial"/>
          <w:szCs w:val="22"/>
          <w:lang w:val="en-AU"/>
        </w:rPr>
        <w:t>All the questions are mandatory, unless stated otherwise.</w:t>
      </w:r>
    </w:p>
    <w:p w14:paraId="10F16854" w14:textId="77777777" w:rsidR="004B4F6D" w:rsidRDefault="004B4F6D" w:rsidP="004B4F6D">
      <w:pPr>
        <w:pStyle w:val="BodyText3"/>
        <w:rPr>
          <w:rFonts w:cs="Arial"/>
          <w:szCs w:val="22"/>
          <w:lang w:val="en-AU"/>
        </w:rPr>
      </w:pPr>
    </w:p>
    <w:p w14:paraId="183C1D4F" w14:textId="430B0565" w:rsidR="004B4F6D" w:rsidRDefault="004B4F6D" w:rsidP="004B4F6D">
      <w:pPr>
        <w:pStyle w:val="BodyText3"/>
        <w:rPr>
          <w:rFonts w:cs="Arial"/>
          <w:szCs w:val="22"/>
          <w:lang w:val="en-AU"/>
        </w:rPr>
      </w:pPr>
      <w:r>
        <w:rPr>
          <w:rFonts w:cs="Arial"/>
          <w:szCs w:val="22"/>
          <w:lang w:val="en-AU"/>
        </w:rPr>
        <w:t>Please note that the current NSW Government employees are not eligible to be on the scheme.</w:t>
      </w:r>
    </w:p>
    <w:p w14:paraId="18DADB3F" w14:textId="1F19B46A" w:rsidR="00972CBE" w:rsidRDefault="00972CBE" w:rsidP="004B4F6D">
      <w:pPr>
        <w:pStyle w:val="BodyText3"/>
        <w:rPr>
          <w:rFonts w:cs="Arial"/>
          <w:szCs w:val="22"/>
          <w:lang w:val="en-AU"/>
        </w:rPr>
      </w:pPr>
    </w:p>
    <w:p w14:paraId="65AAD45C" w14:textId="77777777" w:rsidR="00972CBE" w:rsidRPr="00100DCB" w:rsidRDefault="00972CBE" w:rsidP="00972CBE">
      <w:pPr>
        <w:pStyle w:val="Heading2"/>
        <w:keepLines w:val="0"/>
        <w:numPr>
          <w:ilvl w:val="1"/>
          <w:numId w:val="0"/>
        </w:numPr>
        <w:tabs>
          <w:tab w:val="num" w:pos="576"/>
        </w:tabs>
        <w:spacing w:before="0"/>
        <w:ind w:left="576" w:hanging="576"/>
        <w:rPr>
          <w:lang w:val="en-AU"/>
        </w:rPr>
      </w:pPr>
      <w:bookmarkStart w:id="1" w:name="_Toc217361373"/>
      <w:r w:rsidRPr="00100DCB">
        <w:rPr>
          <w:rFonts w:cs="Arial"/>
          <w:szCs w:val="22"/>
          <w:lang w:val="en-AU"/>
        </w:rPr>
        <w:t>Applications will be assessed according to the following evaluation criteria:</w:t>
      </w:r>
      <w:bookmarkEnd w:id="1"/>
      <w:r w:rsidRPr="00100DCB">
        <w:rPr>
          <w:rFonts w:cs="Arial"/>
          <w:szCs w:val="22"/>
          <w:lang w:val="en-AU"/>
        </w:rPr>
        <w:t xml:space="preserve"> </w:t>
      </w:r>
    </w:p>
    <w:p w14:paraId="65A1C741" w14:textId="77777777" w:rsidR="00972CBE" w:rsidRPr="00100DCB" w:rsidRDefault="00972CBE" w:rsidP="00972CBE">
      <w:pPr>
        <w:rPr>
          <w:lang w:val="en-AU"/>
        </w:rPr>
      </w:pPr>
    </w:p>
    <w:p w14:paraId="0A65EFCB" w14:textId="77777777" w:rsidR="00972CBE" w:rsidRPr="0027493B" w:rsidRDefault="00972CBE" w:rsidP="00972CBE">
      <w:pPr>
        <w:numPr>
          <w:ilvl w:val="0"/>
          <w:numId w:val="1"/>
        </w:numPr>
        <w:spacing w:before="48" w:after="144"/>
        <w:rPr>
          <w:rFonts w:cs="Arial"/>
          <w:i/>
          <w:color w:val="000000"/>
          <w:szCs w:val="22"/>
          <w:lang w:val="en-AU"/>
        </w:rPr>
      </w:pPr>
      <w:r w:rsidRPr="0027493B">
        <w:rPr>
          <w:rFonts w:cs="Arial"/>
          <w:i/>
          <w:color w:val="000000"/>
          <w:szCs w:val="22"/>
          <w:lang w:val="en-AU"/>
        </w:rPr>
        <w:t xml:space="preserve">Applicants for the role of Audit and Risk Committee </w:t>
      </w:r>
      <w:r>
        <w:rPr>
          <w:rFonts w:cs="Arial"/>
          <w:i/>
          <w:color w:val="000000"/>
          <w:szCs w:val="22"/>
          <w:lang w:val="en-AU"/>
        </w:rPr>
        <w:t>M</w:t>
      </w:r>
      <w:r w:rsidRPr="0027493B">
        <w:rPr>
          <w:rFonts w:cs="Arial"/>
          <w:i/>
          <w:color w:val="000000"/>
          <w:szCs w:val="22"/>
          <w:lang w:val="en-AU"/>
        </w:rPr>
        <w:t>ember must demonstrate:</w:t>
      </w:r>
    </w:p>
    <w:p w14:paraId="03ACF6CC" w14:textId="77777777" w:rsidR="00972CBE" w:rsidRPr="0027493B" w:rsidRDefault="00972CBE" w:rsidP="00972CBE">
      <w:pPr>
        <w:numPr>
          <w:ilvl w:val="0"/>
          <w:numId w:val="2"/>
        </w:numPr>
        <w:spacing w:before="48" w:after="144"/>
        <w:rPr>
          <w:lang w:val="en-AU"/>
        </w:rPr>
      </w:pPr>
      <w:r w:rsidRPr="0027493B">
        <w:rPr>
          <w:lang w:val="en-AU"/>
        </w:rPr>
        <w:t xml:space="preserve">Extensive senior level experience in governance and management of complex organisations, an ability to read and understand financial statements and a capacity to understand the ethical requirements of government (including potential conflicts of interest). </w:t>
      </w:r>
    </w:p>
    <w:p w14:paraId="1D849E7E" w14:textId="77777777" w:rsidR="00972CBE" w:rsidRPr="0027493B" w:rsidRDefault="00972CBE" w:rsidP="00972CBE">
      <w:pPr>
        <w:numPr>
          <w:ilvl w:val="0"/>
          <w:numId w:val="2"/>
        </w:numPr>
        <w:spacing w:before="48" w:after="144"/>
        <w:rPr>
          <w:lang w:val="en-AU"/>
        </w:rPr>
      </w:pPr>
      <w:r w:rsidRPr="0027493B">
        <w:rPr>
          <w:lang w:val="en-AU"/>
        </w:rPr>
        <w:t>Functional knowledge in areas such as risk management</w:t>
      </w:r>
      <w:r>
        <w:rPr>
          <w:lang w:val="en-AU"/>
        </w:rPr>
        <w:t>,</w:t>
      </w:r>
      <w:r w:rsidRPr="0027493B">
        <w:rPr>
          <w:lang w:val="en-AU"/>
        </w:rPr>
        <w:t xml:space="preserve"> performance management</w:t>
      </w:r>
      <w:r>
        <w:rPr>
          <w:lang w:val="en-AU"/>
        </w:rPr>
        <w:t>,</w:t>
      </w:r>
      <w:r w:rsidRPr="0027493B">
        <w:rPr>
          <w:lang w:val="en-AU"/>
        </w:rPr>
        <w:t xml:space="preserve"> human resources management</w:t>
      </w:r>
      <w:r>
        <w:rPr>
          <w:lang w:val="en-AU"/>
        </w:rPr>
        <w:t>,</w:t>
      </w:r>
      <w:r w:rsidRPr="0027493B">
        <w:rPr>
          <w:lang w:val="en-AU"/>
        </w:rPr>
        <w:t xml:space="preserve"> internal and external auditing</w:t>
      </w:r>
      <w:r>
        <w:rPr>
          <w:lang w:val="en-AU"/>
        </w:rPr>
        <w:t>,</w:t>
      </w:r>
      <w:r w:rsidRPr="0027493B">
        <w:rPr>
          <w:lang w:val="en-AU"/>
        </w:rPr>
        <w:t xml:space="preserve"> </w:t>
      </w:r>
      <w:r>
        <w:rPr>
          <w:lang w:val="en-AU"/>
        </w:rPr>
        <w:t xml:space="preserve">financial reporting, accounting, </w:t>
      </w:r>
      <w:r w:rsidRPr="0027493B">
        <w:rPr>
          <w:lang w:val="en-AU"/>
        </w:rPr>
        <w:t>management control frameworks</w:t>
      </w:r>
      <w:r>
        <w:rPr>
          <w:lang w:val="en-AU"/>
        </w:rPr>
        <w:t>,</w:t>
      </w:r>
      <w:r w:rsidRPr="0027493B">
        <w:rPr>
          <w:lang w:val="en-AU"/>
        </w:rPr>
        <w:t xml:space="preserve"> financial internal controls</w:t>
      </w:r>
      <w:r>
        <w:rPr>
          <w:lang w:val="en-AU"/>
        </w:rPr>
        <w:t>,</w:t>
      </w:r>
      <w:r w:rsidRPr="0027493B">
        <w:rPr>
          <w:lang w:val="en-AU"/>
        </w:rPr>
        <w:t xml:space="preserve"> governance (including planning, reporting and oversight)</w:t>
      </w:r>
      <w:r>
        <w:rPr>
          <w:lang w:val="en-AU"/>
        </w:rPr>
        <w:t>,</w:t>
      </w:r>
      <w:r w:rsidRPr="0027493B">
        <w:rPr>
          <w:lang w:val="en-AU"/>
        </w:rPr>
        <w:t xml:space="preserve"> or business operations. </w:t>
      </w:r>
    </w:p>
    <w:p w14:paraId="03C10BF6" w14:textId="77777777" w:rsidR="00972CBE" w:rsidRPr="0027493B" w:rsidRDefault="00972CBE" w:rsidP="00972CBE">
      <w:pPr>
        <w:numPr>
          <w:ilvl w:val="0"/>
          <w:numId w:val="2"/>
        </w:numPr>
        <w:spacing w:before="48" w:after="144"/>
        <w:rPr>
          <w:lang w:val="en-AU"/>
        </w:rPr>
      </w:pPr>
      <w:r w:rsidRPr="0027493B">
        <w:rPr>
          <w:lang w:val="en-AU"/>
        </w:rPr>
        <w:t xml:space="preserve">a capacity to form independent judgements and willingness to constructively challenge/question management practices and information. </w:t>
      </w:r>
    </w:p>
    <w:p w14:paraId="1FF49B16" w14:textId="77777777" w:rsidR="00972CBE" w:rsidRPr="0027493B" w:rsidRDefault="00972CBE" w:rsidP="00972CBE">
      <w:pPr>
        <w:numPr>
          <w:ilvl w:val="0"/>
          <w:numId w:val="2"/>
        </w:numPr>
        <w:spacing w:before="48" w:after="144"/>
        <w:rPr>
          <w:lang w:val="en-AU"/>
        </w:rPr>
      </w:pPr>
      <w:r w:rsidRPr="0027493B">
        <w:rPr>
          <w:lang w:val="en-AU"/>
        </w:rPr>
        <w:t xml:space="preserve">a professional, ethical approach to the exercise of their duties and the capacity to devote the necessary time and effort to the responsibilities of a </w:t>
      </w:r>
      <w:r>
        <w:rPr>
          <w:lang w:val="en-AU"/>
        </w:rPr>
        <w:t>M</w:t>
      </w:r>
      <w:r w:rsidRPr="0027493B">
        <w:rPr>
          <w:lang w:val="en-AU"/>
        </w:rPr>
        <w:t xml:space="preserve">ember of an Audit and Risk Committee. </w:t>
      </w:r>
    </w:p>
    <w:p w14:paraId="05EE4FBF" w14:textId="77777777" w:rsidR="00972CBE" w:rsidRDefault="00972CBE" w:rsidP="00972CBE">
      <w:pPr>
        <w:numPr>
          <w:ilvl w:val="0"/>
          <w:numId w:val="2"/>
        </w:numPr>
        <w:spacing w:before="48" w:after="144"/>
        <w:rPr>
          <w:lang w:val="en-AU"/>
        </w:rPr>
      </w:pPr>
      <w:r w:rsidRPr="0027493B">
        <w:rPr>
          <w:lang w:val="en-AU"/>
        </w:rPr>
        <w:t xml:space="preserve">Possession of a relevant professional qualification or membership </w:t>
      </w:r>
      <w:r>
        <w:rPr>
          <w:lang w:val="en-AU"/>
        </w:rPr>
        <w:t>[</w:t>
      </w:r>
      <w:r w:rsidRPr="0027493B">
        <w:rPr>
          <w:lang w:val="en-AU"/>
        </w:rPr>
        <w:t>e.g. Certified Internal Auditor, Certified Practi</w:t>
      </w:r>
      <w:r>
        <w:rPr>
          <w:lang w:val="en-AU"/>
        </w:rPr>
        <w:t>s</w:t>
      </w:r>
      <w:r w:rsidRPr="0027493B">
        <w:rPr>
          <w:lang w:val="en-AU"/>
        </w:rPr>
        <w:t xml:space="preserve">ing Accountant, </w:t>
      </w:r>
      <w:r>
        <w:rPr>
          <w:lang w:val="en-AU"/>
        </w:rPr>
        <w:t xml:space="preserve">Certified Practicing Risk Manager, </w:t>
      </w:r>
      <w:r w:rsidRPr="0027493B">
        <w:rPr>
          <w:lang w:val="en-AU"/>
        </w:rPr>
        <w:t>Member of the Australian Institute of Company Directors (MAICD)</w:t>
      </w:r>
      <w:r>
        <w:rPr>
          <w:lang w:val="en-AU"/>
        </w:rPr>
        <w:t>]</w:t>
      </w:r>
      <w:r w:rsidRPr="0027493B">
        <w:rPr>
          <w:lang w:val="en-AU"/>
        </w:rPr>
        <w:t xml:space="preserve"> is desirable.</w:t>
      </w:r>
    </w:p>
    <w:p w14:paraId="22760112" w14:textId="77777777" w:rsidR="00972CBE" w:rsidRPr="0027493B" w:rsidRDefault="00972CBE" w:rsidP="00972CBE">
      <w:pPr>
        <w:numPr>
          <w:ilvl w:val="0"/>
          <w:numId w:val="1"/>
        </w:numPr>
        <w:spacing w:before="48" w:after="144"/>
        <w:rPr>
          <w:rFonts w:cs="Arial"/>
          <w:i/>
          <w:color w:val="000000"/>
          <w:szCs w:val="22"/>
          <w:lang w:val="en-AU"/>
        </w:rPr>
      </w:pPr>
      <w:r w:rsidRPr="0027493B">
        <w:rPr>
          <w:rFonts w:cs="Arial"/>
          <w:i/>
          <w:color w:val="000000"/>
          <w:szCs w:val="22"/>
          <w:lang w:val="en-AU"/>
        </w:rPr>
        <w:t xml:space="preserve">Applicants for the role of Audit and Risk Committee </w:t>
      </w:r>
      <w:r>
        <w:rPr>
          <w:rFonts w:cs="Arial"/>
          <w:i/>
          <w:color w:val="000000"/>
          <w:szCs w:val="22"/>
          <w:lang w:val="en-AU"/>
        </w:rPr>
        <w:t>C</w:t>
      </w:r>
      <w:r w:rsidRPr="0027493B">
        <w:rPr>
          <w:rFonts w:cs="Arial"/>
          <w:i/>
          <w:color w:val="000000"/>
          <w:szCs w:val="22"/>
          <w:lang w:val="en-AU"/>
        </w:rPr>
        <w:t xml:space="preserve">hair, as well as meeting the requirements for selection as an </w:t>
      </w:r>
      <w:r>
        <w:rPr>
          <w:rFonts w:cs="Arial"/>
          <w:i/>
          <w:color w:val="000000"/>
          <w:szCs w:val="22"/>
          <w:lang w:val="en-AU"/>
        </w:rPr>
        <w:t>Audit and Risk Committee</w:t>
      </w:r>
      <w:r w:rsidRPr="0027493B">
        <w:rPr>
          <w:rFonts w:cs="Arial"/>
          <w:i/>
          <w:color w:val="000000"/>
          <w:szCs w:val="22"/>
          <w:lang w:val="en-AU"/>
        </w:rPr>
        <w:t xml:space="preserve"> </w:t>
      </w:r>
      <w:r>
        <w:rPr>
          <w:rFonts w:cs="Arial"/>
          <w:i/>
          <w:color w:val="000000"/>
          <w:szCs w:val="22"/>
          <w:lang w:val="en-AU"/>
        </w:rPr>
        <w:t>M</w:t>
      </w:r>
      <w:r w:rsidRPr="0027493B">
        <w:rPr>
          <w:rFonts w:cs="Arial"/>
          <w:i/>
          <w:color w:val="000000"/>
          <w:szCs w:val="22"/>
          <w:lang w:val="en-AU"/>
        </w:rPr>
        <w:t>ember o</w:t>
      </w:r>
      <w:r>
        <w:rPr>
          <w:rFonts w:cs="Arial"/>
          <w:i/>
          <w:color w:val="000000"/>
          <w:szCs w:val="22"/>
          <w:lang w:val="en-AU"/>
        </w:rPr>
        <w:t>utlined above, must demonstrate</w:t>
      </w:r>
    </w:p>
    <w:p w14:paraId="2413C93C" w14:textId="77777777" w:rsidR="00972CBE" w:rsidRPr="0027493B" w:rsidRDefault="00972CBE" w:rsidP="00972CBE">
      <w:pPr>
        <w:spacing w:before="48" w:after="144"/>
        <w:ind w:left="1440" w:hanging="360"/>
        <w:rPr>
          <w:lang w:val="en-AU"/>
        </w:rPr>
      </w:pPr>
      <w:r>
        <w:rPr>
          <w:lang w:val="en-AU"/>
        </w:rPr>
        <w:t>a.</w:t>
      </w:r>
      <w:r>
        <w:rPr>
          <w:lang w:val="en-AU"/>
        </w:rPr>
        <w:tab/>
      </w:r>
      <w:r w:rsidRPr="0027493B">
        <w:rPr>
          <w:lang w:val="en-AU"/>
        </w:rPr>
        <w:t xml:space="preserve">leadership qualities and the ability to promote effective working relationships in complex organisations. </w:t>
      </w:r>
    </w:p>
    <w:p w14:paraId="261BD765" w14:textId="77777777" w:rsidR="00972CBE" w:rsidRPr="0027493B" w:rsidRDefault="00972CBE" w:rsidP="00972CBE">
      <w:pPr>
        <w:spacing w:before="48" w:after="144"/>
        <w:ind w:left="1440" w:hanging="360"/>
        <w:rPr>
          <w:lang w:val="en-AU"/>
        </w:rPr>
      </w:pPr>
      <w:r>
        <w:rPr>
          <w:lang w:val="en-AU"/>
        </w:rPr>
        <w:lastRenderedPageBreak/>
        <w:t>b.</w:t>
      </w:r>
      <w:r>
        <w:rPr>
          <w:lang w:val="en-AU"/>
        </w:rPr>
        <w:tab/>
      </w:r>
      <w:r w:rsidRPr="0027493B">
        <w:rPr>
          <w:lang w:val="en-AU"/>
        </w:rPr>
        <w:t xml:space="preserve">an ability to communicate complex and sensitive assessments in a tactful manner to chief audit executives, senior management, board members and Ministers. </w:t>
      </w:r>
    </w:p>
    <w:p w14:paraId="1522F3F1" w14:textId="77777777" w:rsidR="00972CBE" w:rsidRPr="0027493B" w:rsidRDefault="00972CBE" w:rsidP="00972CBE">
      <w:pPr>
        <w:tabs>
          <w:tab w:val="left" w:pos="1418"/>
        </w:tabs>
        <w:spacing w:before="48" w:after="144"/>
        <w:ind w:left="1080"/>
        <w:rPr>
          <w:lang w:val="en-AU"/>
        </w:rPr>
      </w:pPr>
      <w:r>
        <w:rPr>
          <w:lang w:val="en-AU"/>
        </w:rPr>
        <w:t>c.</w:t>
      </w:r>
      <w:r>
        <w:rPr>
          <w:lang w:val="en-AU"/>
        </w:rPr>
        <w:tab/>
      </w:r>
      <w:r w:rsidRPr="0027493B">
        <w:rPr>
          <w:lang w:val="en-AU"/>
        </w:rPr>
        <w:t>a sound understanding of:</w:t>
      </w:r>
    </w:p>
    <w:p w14:paraId="78F52B81" w14:textId="77777777" w:rsidR="00972CBE" w:rsidRPr="0027493B" w:rsidRDefault="00972CBE" w:rsidP="00972CBE">
      <w:pPr>
        <w:numPr>
          <w:ilvl w:val="0"/>
          <w:numId w:val="3"/>
        </w:numPr>
        <w:spacing w:before="48" w:after="144"/>
        <w:rPr>
          <w:lang w:val="en-AU"/>
        </w:rPr>
      </w:pPr>
      <w:r w:rsidRPr="0027493B">
        <w:rPr>
          <w:lang w:val="en-AU"/>
        </w:rPr>
        <w:t>the principles of good organisational governance and capacity to understand public sector accountability</w:t>
      </w:r>
      <w:r>
        <w:rPr>
          <w:lang w:val="en-AU"/>
        </w:rPr>
        <w:t xml:space="preserve">, </w:t>
      </w:r>
      <w:r w:rsidRPr="00AE2478">
        <w:rPr>
          <w:rFonts w:cs="Arial"/>
          <w:color w:val="000000"/>
          <w:szCs w:val="22"/>
          <w:lang w:val="en-AU"/>
        </w:rPr>
        <w:t>including financial reporting</w:t>
      </w:r>
      <w:r w:rsidRPr="0027493B">
        <w:rPr>
          <w:lang w:val="en-AU"/>
        </w:rPr>
        <w:t xml:space="preserve">; </w:t>
      </w:r>
    </w:p>
    <w:p w14:paraId="7092F496" w14:textId="77777777" w:rsidR="00972CBE" w:rsidRDefault="00972CBE" w:rsidP="00972CBE">
      <w:pPr>
        <w:numPr>
          <w:ilvl w:val="0"/>
          <w:numId w:val="3"/>
        </w:numPr>
        <w:spacing w:before="48" w:after="144"/>
        <w:rPr>
          <w:lang w:val="en-AU"/>
        </w:rPr>
      </w:pPr>
      <w:r w:rsidRPr="004C2C76">
        <w:rPr>
          <w:lang w:val="en-AU"/>
        </w:rPr>
        <w:t>the business of the department or statutory body or the environment in which it operates</w:t>
      </w:r>
      <w:r>
        <w:rPr>
          <w:lang w:val="en-AU"/>
        </w:rPr>
        <w:t>;</w:t>
      </w:r>
    </w:p>
    <w:p w14:paraId="50BE2117" w14:textId="77777777" w:rsidR="00972CBE" w:rsidRPr="0027493B" w:rsidRDefault="00972CBE" w:rsidP="00972CBE">
      <w:pPr>
        <w:numPr>
          <w:ilvl w:val="0"/>
          <w:numId w:val="3"/>
        </w:numPr>
        <w:spacing w:before="48" w:after="144"/>
        <w:rPr>
          <w:lang w:val="en-AU"/>
        </w:rPr>
      </w:pPr>
      <w:r w:rsidRPr="0027493B">
        <w:rPr>
          <w:lang w:val="en-AU"/>
        </w:rPr>
        <w:t>internal audit operations, including selection and review of chief audit executives; and</w:t>
      </w:r>
    </w:p>
    <w:p w14:paraId="29086046" w14:textId="77777777" w:rsidR="00972CBE" w:rsidRDefault="00972CBE" w:rsidP="00972CBE">
      <w:pPr>
        <w:numPr>
          <w:ilvl w:val="0"/>
          <w:numId w:val="3"/>
        </w:numPr>
        <w:spacing w:before="48" w:after="144"/>
        <w:rPr>
          <w:lang w:val="en-AU"/>
        </w:rPr>
      </w:pPr>
      <w:r w:rsidRPr="0027493B">
        <w:rPr>
          <w:lang w:val="en-AU"/>
        </w:rPr>
        <w:t xml:space="preserve">risk management principles. </w:t>
      </w:r>
    </w:p>
    <w:p w14:paraId="382B06A6" w14:textId="77777777" w:rsidR="00972CBE" w:rsidRDefault="00972CBE" w:rsidP="004B4F6D">
      <w:pPr>
        <w:pStyle w:val="BodyText3"/>
        <w:rPr>
          <w:rFonts w:cs="Arial"/>
          <w:szCs w:val="22"/>
          <w:lang w:val="en-AU"/>
        </w:rPr>
      </w:pPr>
    </w:p>
    <w:p w14:paraId="553D1B6B" w14:textId="43CAEDAF" w:rsidR="004B4F6D" w:rsidRPr="0051588A" w:rsidRDefault="008B5E4D" w:rsidP="004B4F6D">
      <w:pPr>
        <w:pStyle w:val="BodyText3"/>
        <w:rPr>
          <w:rFonts w:cs="Arial"/>
          <w:szCs w:val="22"/>
          <w:lang w:val="en-AU"/>
        </w:rPr>
      </w:pPr>
      <w:r>
        <w:rPr>
          <w:rFonts w:cs="Arial"/>
          <w:szCs w:val="22"/>
          <w:lang w:val="en-AU"/>
        </w:rPr>
        <w:t>If you do not meet 1 or more criteria, your application will not be successful.</w:t>
      </w:r>
    </w:p>
    <w:p w14:paraId="2451A8CC" w14:textId="77777777" w:rsidR="004B4F6D" w:rsidRPr="0039033D" w:rsidRDefault="004B4F6D" w:rsidP="004B4F6D">
      <w:pPr>
        <w:pStyle w:val="Heading1"/>
        <w:jc w:val="center"/>
        <w:rPr>
          <w:lang w:val="en-AU"/>
        </w:rPr>
      </w:pPr>
      <w:r>
        <w:rPr>
          <w:lang w:val="en-AU"/>
        </w:rPr>
        <w:t>Experience check</w:t>
      </w:r>
    </w:p>
    <w:p w14:paraId="6BC5542D" w14:textId="77777777" w:rsidR="004B4F6D" w:rsidRPr="0051588A" w:rsidRDefault="004B4F6D" w:rsidP="004B4F6D">
      <w:pPr>
        <w:pStyle w:val="BodyText3"/>
        <w:jc w:val="center"/>
        <w:rPr>
          <w:rFonts w:cs="Arial"/>
          <w:szCs w:val="22"/>
          <w:lang w:val="en-AU"/>
        </w:rPr>
      </w:pPr>
    </w:p>
    <w:p w14:paraId="0C3B39C9" w14:textId="77777777" w:rsidR="004B4F6D" w:rsidRPr="0051588A" w:rsidRDefault="004B4F6D" w:rsidP="004B4F6D">
      <w:pPr>
        <w:pStyle w:val="BodyText3"/>
        <w:rPr>
          <w:rFonts w:cs="Arial"/>
          <w:szCs w:val="22"/>
          <w:lang w:val="en-AU"/>
        </w:rPr>
      </w:pPr>
      <w:r w:rsidRPr="0051588A">
        <w:rPr>
          <w:rFonts w:cs="Arial"/>
          <w:szCs w:val="22"/>
          <w:lang w:val="en-AU"/>
        </w:rPr>
        <w:t>Before proceeding to complete this application please answer the following questions:</w:t>
      </w:r>
    </w:p>
    <w:p w14:paraId="57249C2D" w14:textId="77777777" w:rsidR="004B4F6D" w:rsidRDefault="004B4F6D" w:rsidP="004B4F6D">
      <w:pPr>
        <w:pStyle w:val="BodyText3"/>
        <w:rPr>
          <w:rFonts w:cs="Arial"/>
          <w:b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2"/>
        <w:gridCol w:w="4424"/>
      </w:tblGrid>
      <w:tr w:rsidR="004B4F6D" w:rsidRPr="0066669B" w14:paraId="43B2910B" w14:textId="77777777" w:rsidTr="008E75B2">
        <w:tc>
          <w:tcPr>
            <w:tcW w:w="4592" w:type="dxa"/>
            <w:shd w:val="clear" w:color="auto" w:fill="DEEAF6" w:themeFill="accent1" w:themeFillTint="33"/>
          </w:tcPr>
          <w:p w14:paraId="3288411E" w14:textId="77777777" w:rsidR="004B4F6D" w:rsidRPr="0051588A" w:rsidRDefault="004B4F6D" w:rsidP="008E75B2">
            <w:pPr>
              <w:spacing w:before="120" w:after="120"/>
              <w:rPr>
                <w:rFonts w:cs="Arial"/>
                <w:b/>
                <w:szCs w:val="22"/>
              </w:rPr>
            </w:pPr>
            <w:r w:rsidRPr="0051588A">
              <w:rPr>
                <w:rFonts w:cs="Arial"/>
                <w:b/>
                <w:szCs w:val="22"/>
              </w:rPr>
              <w:t>Experience check</w:t>
            </w:r>
          </w:p>
        </w:tc>
        <w:tc>
          <w:tcPr>
            <w:tcW w:w="4425" w:type="dxa"/>
            <w:shd w:val="clear" w:color="auto" w:fill="DEEAF6" w:themeFill="accent1" w:themeFillTint="33"/>
          </w:tcPr>
          <w:p w14:paraId="3036DC6A" w14:textId="77777777" w:rsidR="004B4F6D" w:rsidRPr="0051588A" w:rsidRDefault="004B4F6D" w:rsidP="008E75B2">
            <w:pPr>
              <w:spacing w:before="120" w:after="120"/>
              <w:rPr>
                <w:rFonts w:cs="Arial"/>
                <w:b/>
                <w:szCs w:val="22"/>
              </w:rPr>
            </w:pPr>
            <w:r w:rsidRPr="0051588A">
              <w:rPr>
                <w:rFonts w:cs="Arial"/>
                <w:b/>
                <w:szCs w:val="22"/>
              </w:rPr>
              <w:t>Yes/No</w:t>
            </w:r>
          </w:p>
        </w:tc>
      </w:tr>
      <w:tr w:rsidR="004B4F6D" w:rsidRPr="0066669B" w14:paraId="4EA5E37F" w14:textId="77777777" w:rsidTr="008E75B2">
        <w:trPr>
          <w:trHeight w:val="1249"/>
        </w:trPr>
        <w:tc>
          <w:tcPr>
            <w:tcW w:w="4592" w:type="dxa"/>
          </w:tcPr>
          <w:p w14:paraId="3473383A" w14:textId="77777777" w:rsidR="004B4F6D" w:rsidRDefault="004B4F6D" w:rsidP="008E75B2">
            <w:pPr>
              <w:spacing w:before="120" w:after="120"/>
              <w:rPr>
                <w:rFonts w:cs="Arial"/>
                <w:szCs w:val="22"/>
              </w:rPr>
            </w:pPr>
            <w:r w:rsidRPr="0051588A">
              <w:rPr>
                <w:rFonts w:cs="Arial"/>
                <w:szCs w:val="22"/>
              </w:rPr>
              <w:t>Do you have experience as a member of Boards of Directors or Audit Committees?</w:t>
            </w:r>
            <w:r>
              <w:rPr>
                <w:rFonts w:cs="Arial"/>
                <w:szCs w:val="22"/>
              </w:rPr>
              <w:t xml:space="preserve"> </w:t>
            </w:r>
          </w:p>
          <w:p w14:paraId="4340CBC2" w14:textId="77777777" w:rsidR="004B4F6D" w:rsidRPr="0051588A" w:rsidRDefault="004B4F6D" w:rsidP="008E75B2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Or </w:t>
            </w:r>
          </w:p>
          <w:p w14:paraId="27D59E48" w14:textId="77777777" w:rsidR="004B4F6D" w:rsidRPr="0051588A" w:rsidRDefault="004B4F6D" w:rsidP="008E75B2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 you h</w:t>
            </w:r>
            <w:r w:rsidRPr="0051588A">
              <w:rPr>
                <w:rFonts w:cs="Arial"/>
                <w:szCs w:val="22"/>
              </w:rPr>
              <w:t xml:space="preserve">ave </w:t>
            </w:r>
            <w:r>
              <w:rPr>
                <w:rFonts w:cs="Arial"/>
                <w:szCs w:val="22"/>
              </w:rPr>
              <w:t>extensive</w:t>
            </w:r>
            <w:r w:rsidRPr="0051588A">
              <w:rPr>
                <w:rFonts w:cs="Arial"/>
                <w:szCs w:val="22"/>
              </w:rPr>
              <w:t xml:space="preserve"> senior executive </w:t>
            </w:r>
            <w:r>
              <w:rPr>
                <w:rFonts w:cs="Arial"/>
                <w:szCs w:val="22"/>
              </w:rPr>
              <w:t>experience</w:t>
            </w:r>
            <w:r w:rsidRPr="0051588A">
              <w:rPr>
                <w:rFonts w:cs="Arial"/>
                <w:szCs w:val="22"/>
              </w:rPr>
              <w:t>?</w:t>
            </w:r>
          </w:p>
        </w:tc>
        <w:tc>
          <w:tcPr>
            <w:tcW w:w="4425" w:type="dxa"/>
          </w:tcPr>
          <w:p w14:paraId="4925EA9A" w14:textId="77777777" w:rsidR="004B4F6D" w:rsidRPr="0051588A" w:rsidRDefault="004B4F6D" w:rsidP="008E75B2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4B4F6D" w:rsidRPr="0066669B" w14:paraId="74879145" w14:textId="77777777" w:rsidTr="008E75B2">
        <w:tc>
          <w:tcPr>
            <w:tcW w:w="4592" w:type="dxa"/>
          </w:tcPr>
          <w:p w14:paraId="4D1558E6" w14:textId="77777777" w:rsidR="004B4F6D" w:rsidRPr="0051588A" w:rsidRDefault="004B4F6D" w:rsidP="008E75B2">
            <w:pPr>
              <w:spacing w:before="120" w:after="120"/>
              <w:rPr>
                <w:rFonts w:cs="Arial"/>
                <w:szCs w:val="22"/>
              </w:rPr>
            </w:pPr>
            <w:r w:rsidRPr="0051588A">
              <w:rPr>
                <w:rFonts w:cs="Arial"/>
                <w:szCs w:val="22"/>
              </w:rPr>
              <w:t>Can you provide two professional referees who can attest to your expert</w:t>
            </w:r>
            <w:r>
              <w:rPr>
                <w:rFonts w:cs="Arial"/>
                <w:szCs w:val="22"/>
              </w:rPr>
              <w:t>ise and</w:t>
            </w:r>
            <w:r w:rsidRPr="0051588A">
              <w:rPr>
                <w:rFonts w:cs="Arial"/>
                <w:szCs w:val="22"/>
              </w:rPr>
              <w:t xml:space="preserve"> experience?</w:t>
            </w:r>
          </w:p>
        </w:tc>
        <w:tc>
          <w:tcPr>
            <w:tcW w:w="4425" w:type="dxa"/>
          </w:tcPr>
          <w:p w14:paraId="4700609F" w14:textId="77777777" w:rsidR="004B4F6D" w:rsidRPr="00BB6E14" w:rsidRDefault="004B4F6D" w:rsidP="008E75B2">
            <w:pPr>
              <w:pStyle w:val="BodyText3"/>
              <w:rPr>
                <w:rFonts w:cs="Arial"/>
                <w:b/>
                <w:szCs w:val="22"/>
                <w:lang w:val="en-AU"/>
              </w:rPr>
            </w:pPr>
          </w:p>
        </w:tc>
      </w:tr>
      <w:tr w:rsidR="004B4F6D" w:rsidRPr="0066669B" w14:paraId="12FF896B" w14:textId="77777777" w:rsidTr="008E75B2">
        <w:tc>
          <w:tcPr>
            <w:tcW w:w="4592" w:type="dxa"/>
          </w:tcPr>
          <w:p w14:paraId="0FDCF849" w14:textId="77777777" w:rsidR="004B4F6D" w:rsidRPr="0051588A" w:rsidRDefault="004B4F6D" w:rsidP="008E75B2">
            <w:pPr>
              <w:spacing w:before="120" w:after="120"/>
              <w:rPr>
                <w:rFonts w:cs="Arial"/>
                <w:szCs w:val="22"/>
              </w:rPr>
            </w:pPr>
            <w:r w:rsidRPr="0051588A">
              <w:rPr>
                <w:rFonts w:cs="Arial"/>
                <w:szCs w:val="22"/>
              </w:rPr>
              <w:t>Do you have experience specifically relating to the business of Government?</w:t>
            </w:r>
          </w:p>
        </w:tc>
        <w:tc>
          <w:tcPr>
            <w:tcW w:w="4425" w:type="dxa"/>
          </w:tcPr>
          <w:p w14:paraId="2B2DB182" w14:textId="77777777" w:rsidR="004B4F6D" w:rsidRPr="00BB6E14" w:rsidRDefault="004B4F6D" w:rsidP="008E75B2">
            <w:pPr>
              <w:pStyle w:val="BodyText3"/>
              <w:rPr>
                <w:rFonts w:cs="Arial"/>
                <w:b/>
                <w:szCs w:val="22"/>
                <w:lang w:val="en-AU"/>
              </w:rPr>
            </w:pPr>
          </w:p>
        </w:tc>
      </w:tr>
      <w:tr w:rsidR="004B4F6D" w:rsidRPr="0066669B" w14:paraId="0EB89B3A" w14:textId="77777777" w:rsidTr="008E75B2">
        <w:tc>
          <w:tcPr>
            <w:tcW w:w="4592" w:type="dxa"/>
          </w:tcPr>
          <w:p w14:paraId="70478265" w14:textId="77777777" w:rsidR="004B4F6D" w:rsidRPr="0051588A" w:rsidRDefault="004B4F6D" w:rsidP="008E75B2">
            <w:pPr>
              <w:spacing w:before="120" w:after="120"/>
              <w:rPr>
                <w:rFonts w:cs="Arial"/>
                <w:szCs w:val="22"/>
              </w:rPr>
            </w:pPr>
            <w:r w:rsidRPr="0051588A">
              <w:rPr>
                <w:rFonts w:cs="Arial"/>
                <w:szCs w:val="22"/>
              </w:rPr>
              <w:t>Does your experience cover at least two of the functional experience areas at expert level</w:t>
            </w:r>
            <w:r>
              <w:rPr>
                <w:rFonts w:cs="Arial"/>
                <w:szCs w:val="22"/>
              </w:rPr>
              <w:t xml:space="preserve"> (refer to the section ‘Capabilities demonstration’)</w:t>
            </w:r>
            <w:r w:rsidRPr="0051588A">
              <w:rPr>
                <w:rFonts w:cs="Arial"/>
                <w:szCs w:val="22"/>
              </w:rPr>
              <w:t>?</w:t>
            </w:r>
          </w:p>
        </w:tc>
        <w:tc>
          <w:tcPr>
            <w:tcW w:w="4425" w:type="dxa"/>
          </w:tcPr>
          <w:p w14:paraId="02624333" w14:textId="77777777" w:rsidR="004B4F6D" w:rsidRPr="00BB6E14" w:rsidRDefault="004B4F6D" w:rsidP="008E75B2">
            <w:pPr>
              <w:pStyle w:val="BodyText3"/>
              <w:rPr>
                <w:rFonts w:cs="Arial"/>
                <w:b/>
                <w:szCs w:val="22"/>
                <w:lang w:val="en-AU"/>
              </w:rPr>
            </w:pPr>
          </w:p>
        </w:tc>
      </w:tr>
    </w:tbl>
    <w:p w14:paraId="5B27AD2E" w14:textId="77777777" w:rsidR="004B4F6D" w:rsidRDefault="004B4F6D" w:rsidP="004B4F6D">
      <w:pPr>
        <w:pStyle w:val="BodyText3"/>
        <w:rPr>
          <w:rFonts w:cs="Arial"/>
          <w:b/>
          <w:szCs w:val="22"/>
          <w:lang w:val="en-AU"/>
        </w:rPr>
      </w:pPr>
    </w:p>
    <w:p w14:paraId="1C2B9588" w14:textId="77777777" w:rsidR="004B4F6D" w:rsidRDefault="004B4F6D" w:rsidP="004B4F6D">
      <w:pPr>
        <w:pStyle w:val="BodyText3"/>
        <w:rPr>
          <w:rFonts w:cs="Arial"/>
          <w:b/>
          <w:szCs w:val="22"/>
          <w:lang w:val="en-AU"/>
        </w:rPr>
      </w:pPr>
    </w:p>
    <w:p w14:paraId="4F143163" w14:textId="4747C560" w:rsidR="004B4F6D" w:rsidRDefault="004B4F6D" w:rsidP="004B4F6D">
      <w:pPr>
        <w:pStyle w:val="BodyText3"/>
        <w:rPr>
          <w:rFonts w:cs="Arial"/>
          <w:szCs w:val="22"/>
          <w:lang w:val="en-AU"/>
        </w:rPr>
      </w:pPr>
      <w:r w:rsidRPr="0051588A">
        <w:rPr>
          <w:rFonts w:cs="Arial"/>
          <w:szCs w:val="22"/>
          <w:lang w:val="en-AU"/>
        </w:rPr>
        <w:t xml:space="preserve">If you have answered </w:t>
      </w:r>
      <w:r>
        <w:rPr>
          <w:rFonts w:cs="Arial"/>
          <w:szCs w:val="22"/>
          <w:lang w:val="en-AU"/>
        </w:rPr>
        <w:t>‘</w:t>
      </w:r>
      <w:r w:rsidRPr="0051588A">
        <w:rPr>
          <w:rFonts w:cs="Arial"/>
          <w:szCs w:val="22"/>
          <w:lang w:val="en-AU"/>
        </w:rPr>
        <w:t>No</w:t>
      </w:r>
      <w:r>
        <w:rPr>
          <w:rFonts w:cs="Arial"/>
          <w:szCs w:val="22"/>
          <w:lang w:val="en-AU"/>
        </w:rPr>
        <w:t>’ to any of the ‘Experience check’</w:t>
      </w:r>
      <w:r w:rsidRPr="0051588A">
        <w:rPr>
          <w:rFonts w:cs="Arial"/>
          <w:szCs w:val="22"/>
          <w:lang w:val="en-AU"/>
        </w:rPr>
        <w:t xml:space="preserve"> questions</w:t>
      </w:r>
      <w:r>
        <w:rPr>
          <w:rFonts w:cs="Arial"/>
          <w:szCs w:val="22"/>
          <w:lang w:val="en-AU"/>
        </w:rPr>
        <w:t xml:space="preserve"> </w:t>
      </w:r>
      <w:r w:rsidRPr="0051588A">
        <w:rPr>
          <w:rFonts w:cs="Arial"/>
          <w:szCs w:val="22"/>
          <w:lang w:val="en-AU"/>
        </w:rPr>
        <w:t xml:space="preserve">the levels of experience are unlikely to be </w:t>
      </w:r>
      <w:proofErr w:type="gramStart"/>
      <w:r w:rsidRPr="0051588A">
        <w:rPr>
          <w:rFonts w:cs="Arial"/>
          <w:szCs w:val="22"/>
          <w:lang w:val="en-AU"/>
        </w:rPr>
        <w:t>sufficient</w:t>
      </w:r>
      <w:proofErr w:type="gramEnd"/>
      <w:r w:rsidRPr="0051588A">
        <w:rPr>
          <w:rFonts w:cs="Arial"/>
          <w:szCs w:val="22"/>
          <w:lang w:val="en-AU"/>
        </w:rPr>
        <w:t xml:space="preserve"> for membership as </w:t>
      </w:r>
      <w:r>
        <w:rPr>
          <w:rFonts w:cs="Arial"/>
          <w:szCs w:val="22"/>
          <w:lang w:val="en-AU"/>
        </w:rPr>
        <w:t>A</w:t>
      </w:r>
      <w:r w:rsidRPr="0051588A">
        <w:rPr>
          <w:rFonts w:cs="Arial"/>
          <w:szCs w:val="22"/>
          <w:lang w:val="en-AU"/>
        </w:rPr>
        <w:t xml:space="preserve">udit and </w:t>
      </w:r>
      <w:r>
        <w:rPr>
          <w:rFonts w:cs="Arial"/>
          <w:szCs w:val="22"/>
          <w:lang w:val="en-AU"/>
        </w:rPr>
        <w:t>R</w:t>
      </w:r>
      <w:r w:rsidRPr="0051588A">
        <w:rPr>
          <w:rFonts w:cs="Arial"/>
          <w:szCs w:val="22"/>
          <w:lang w:val="en-AU"/>
        </w:rPr>
        <w:t xml:space="preserve">isk Independent </w:t>
      </w:r>
      <w:r>
        <w:rPr>
          <w:rFonts w:cs="Arial"/>
          <w:szCs w:val="22"/>
          <w:lang w:val="en-AU"/>
        </w:rPr>
        <w:t>c</w:t>
      </w:r>
      <w:r w:rsidRPr="0051588A">
        <w:rPr>
          <w:rFonts w:cs="Arial"/>
          <w:szCs w:val="22"/>
          <w:lang w:val="en-AU"/>
        </w:rPr>
        <w:t xml:space="preserve">hair and/or </w:t>
      </w:r>
      <w:r>
        <w:rPr>
          <w:rFonts w:cs="Arial"/>
          <w:szCs w:val="22"/>
          <w:lang w:val="en-AU"/>
        </w:rPr>
        <w:t>m</w:t>
      </w:r>
      <w:r w:rsidRPr="0051588A">
        <w:rPr>
          <w:rFonts w:cs="Arial"/>
          <w:szCs w:val="22"/>
          <w:lang w:val="en-AU"/>
        </w:rPr>
        <w:t xml:space="preserve">ember </w:t>
      </w:r>
      <w:r>
        <w:rPr>
          <w:rFonts w:cs="Arial"/>
          <w:szCs w:val="22"/>
          <w:lang w:val="en-AU"/>
        </w:rPr>
        <w:t>r</w:t>
      </w:r>
      <w:r w:rsidRPr="0051588A">
        <w:rPr>
          <w:rFonts w:cs="Arial"/>
          <w:szCs w:val="22"/>
          <w:lang w:val="en-AU"/>
        </w:rPr>
        <w:t>oles.</w:t>
      </w:r>
    </w:p>
    <w:p w14:paraId="54B77888" w14:textId="77777777" w:rsidR="004B4F6D" w:rsidRDefault="004B4F6D" w:rsidP="004B4F6D">
      <w:pPr>
        <w:pStyle w:val="BodyText3"/>
        <w:rPr>
          <w:rFonts w:cs="Arial"/>
          <w:szCs w:val="22"/>
          <w:lang w:val="en-AU"/>
        </w:rPr>
      </w:pPr>
    </w:p>
    <w:p w14:paraId="1D97E3E2" w14:textId="77777777" w:rsidR="004B4F6D" w:rsidRPr="00BB6E14" w:rsidRDefault="004B4F6D" w:rsidP="004B4F6D">
      <w:pPr>
        <w:pStyle w:val="Heading4"/>
        <w:jc w:val="center"/>
        <w:rPr>
          <w:lang w:val="en-AU"/>
        </w:rPr>
      </w:pPr>
      <w:r>
        <w:rPr>
          <w:lang w:val="en-AU"/>
        </w:rPr>
        <w:t>Working on other boards and committees</w:t>
      </w:r>
    </w:p>
    <w:p w14:paraId="670E0CD9" w14:textId="77777777" w:rsidR="004B4F6D" w:rsidRDefault="004B4F6D" w:rsidP="004B4F6D">
      <w:pPr>
        <w:pStyle w:val="BodyText3"/>
        <w:rPr>
          <w:rFonts w:cs="Arial"/>
          <w:b/>
          <w:szCs w:val="22"/>
          <w:lang w:val="en-AU"/>
        </w:rPr>
      </w:pPr>
    </w:p>
    <w:p w14:paraId="210FC011" w14:textId="77777777" w:rsidR="004B4F6D" w:rsidRPr="0051588A" w:rsidRDefault="004B4F6D" w:rsidP="004B4F6D">
      <w:pPr>
        <w:pStyle w:val="BodyText3"/>
        <w:rPr>
          <w:rFonts w:cs="Arial"/>
          <w:szCs w:val="22"/>
          <w:lang w:val="en-AU"/>
        </w:rPr>
      </w:pPr>
      <w:r w:rsidRPr="0051588A">
        <w:rPr>
          <w:rFonts w:cs="Arial"/>
          <w:szCs w:val="22"/>
          <w:lang w:val="en-AU"/>
        </w:rPr>
        <w:t xml:space="preserve">Options for any person interested in working on </w:t>
      </w:r>
      <w:r>
        <w:rPr>
          <w:rFonts w:cs="Arial"/>
          <w:szCs w:val="22"/>
          <w:lang w:val="en-AU"/>
        </w:rPr>
        <w:t xml:space="preserve">other </w:t>
      </w:r>
      <w:r w:rsidRPr="0051588A">
        <w:rPr>
          <w:rFonts w:cs="Arial"/>
          <w:szCs w:val="22"/>
          <w:lang w:val="en-AU"/>
        </w:rPr>
        <w:t>Government Boards and Committees is to register online at:</w:t>
      </w:r>
    </w:p>
    <w:p w14:paraId="744820D8" w14:textId="77777777" w:rsidR="004B4F6D" w:rsidRPr="0051588A" w:rsidRDefault="004B4F6D" w:rsidP="004B4F6D">
      <w:pPr>
        <w:pStyle w:val="BodyText3"/>
        <w:rPr>
          <w:rFonts w:cs="Arial"/>
          <w:szCs w:val="22"/>
          <w:lang w:val="en-AU"/>
        </w:rPr>
      </w:pPr>
    </w:p>
    <w:p w14:paraId="0E20E20D" w14:textId="77777777" w:rsidR="004B4F6D" w:rsidRPr="0051588A" w:rsidRDefault="004B236C" w:rsidP="004B4F6D">
      <w:pPr>
        <w:pStyle w:val="BodyText3"/>
        <w:rPr>
          <w:rFonts w:cs="Arial"/>
          <w:szCs w:val="22"/>
          <w:lang w:val="en-AU"/>
        </w:rPr>
      </w:pPr>
      <w:hyperlink r:id="rId9" w:history="1">
        <w:r w:rsidR="004B4F6D" w:rsidRPr="0051588A">
          <w:rPr>
            <w:rStyle w:val="Hyperlink"/>
            <w:rFonts w:cs="Arial"/>
            <w:szCs w:val="22"/>
            <w:lang w:val="en-AU"/>
          </w:rPr>
          <w:t>http://www.boards.dpc.nsw.gov.au/online-registration</w:t>
        </w:r>
      </w:hyperlink>
    </w:p>
    <w:p w14:paraId="1E8CCFA3" w14:textId="77777777" w:rsidR="004B4F6D" w:rsidRPr="0051588A" w:rsidRDefault="004B4F6D" w:rsidP="004B4F6D">
      <w:pPr>
        <w:pStyle w:val="BodyText3"/>
        <w:rPr>
          <w:rFonts w:cs="Arial"/>
          <w:szCs w:val="22"/>
          <w:lang w:val="en-AU"/>
        </w:rPr>
      </w:pPr>
    </w:p>
    <w:p w14:paraId="1B065B90" w14:textId="77777777" w:rsidR="004B4F6D" w:rsidRPr="0051588A" w:rsidRDefault="004B4F6D" w:rsidP="004B4F6D">
      <w:pPr>
        <w:pStyle w:val="BodyText3"/>
        <w:rPr>
          <w:rFonts w:cs="Arial"/>
          <w:szCs w:val="22"/>
          <w:lang w:val="en-AU"/>
        </w:rPr>
      </w:pPr>
    </w:p>
    <w:p w14:paraId="5DF35164" w14:textId="77777777" w:rsidR="004B4F6D" w:rsidRPr="0051588A" w:rsidRDefault="004B4F6D" w:rsidP="004B4F6D">
      <w:pPr>
        <w:pStyle w:val="BodyText3"/>
        <w:rPr>
          <w:rFonts w:cs="Arial"/>
          <w:szCs w:val="22"/>
          <w:lang w:val="en-AU"/>
        </w:rPr>
      </w:pPr>
      <w:r w:rsidRPr="0051588A">
        <w:rPr>
          <w:rFonts w:cs="Arial"/>
          <w:szCs w:val="22"/>
          <w:lang w:val="en-AU"/>
        </w:rPr>
        <w:lastRenderedPageBreak/>
        <w:t>Further details on the process with registrations and the Boards and Committees is available at:</w:t>
      </w:r>
    </w:p>
    <w:p w14:paraId="5A865E5D" w14:textId="77777777" w:rsidR="004B4F6D" w:rsidRPr="0051588A" w:rsidRDefault="004B4F6D" w:rsidP="004B4F6D">
      <w:pPr>
        <w:pStyle w:val="BodyText3"/>
        <w:rPr>
          <w:rFonts w:cs="Arial"/>
          <w:szCs w:val="22"/>
          <w:lang w:val="en-AU"/>
        </w:rPr>
      </w:pPr>
    </w:p>
    <w:p w14:paraId="6FDF0B58" w14:textId="77777777" w:rsidR="004B4F6D" w:rsidRPr="0051588A" w:rsidRDefault="004B236C" w:rsidP="004B4F6D">
      <w:pPr>
        <w:pStyle w:val="BodyText3"/>
        <w:rPr>
          <w:rFonts w:cs="Arial"/>
          <w:szCs w:val="22"/>
          <w:lang w:val="en-AU"/>
        </w:rPr>
      </w:pPr>
      <w:hyperlink r:id="rId10" w:history="1">
        <w:r w:rsidR="004B4F6D" w:rsidRPr="0051588A">
          <w:rPr>
            <w:rStyle w:val="Hyperlink"/>
            <w:rFonts w:cs="Arial"/>
            <w:szCs w:val="22"/>
            <w:lang w:val="en-AU"/>
          </w:rPr>
          <w:t>http://www.dpc.nsw.gov.au/programs_and_services/boards_and_committees</w:t>
        </w:r>
      </w:hyperlink>
    </w:p>
    <w:p w14:paraId="5AC32EF2" w14:textId="77777777" w:rsidR="001E5F2C" w:rsidRDefault="004B236C"/>
    <w:sectPr w:rsidR="001E5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32234"/>
    <w:multiLevelType w:val="hybridMultilevel"/>
    <w:tmpl w:val="DD94283A"/>
    <w:lvl w:ilvl="0" w:tplc="A362542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31B2A3C"/>
    <w:multiLevelType w:val="hybridMultilevel"/>
    <w:tmpl w:val="8FE24214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C874F0"/>
    <w:multiLevelType w:val="hybridMultilevel"/>
    <w:tmpl w:val="E6804CEA"/>
    <w:lvl w:ilvl="0" w:tplc="F7F0758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6D"/>
    <w:rsid w:val="001E6A75"/>
    <w:rsid w:val="003D467C"/>
    <w:rsid w:val="004B236C"/>
    <w:rsid w:val="004B4F6D"/>
    <w:rsid w:val="006C7FEF"/>
    <w:rsid w:val="008B5E4D"/>
    <w:rsid w:val="009106F5"/>
    <w:rsid w:val="00972CBE"/>
    <w:rsid w:val="009E5D5D"/>
    <w:rsid w:val="00B06F03"/>
    <w:rsid w:val="00C5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5FD09"/>
  <w15:chartTrackingRefBased/>
  <w15:docId w15:val="{95B419A2-F904-47A0-8F0D-82E3DB10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F6D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F6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4F6D"/>
    <w:pPr>
      <w:keepNext/>
      <w:tabs>
        <w:tab w:val="num" w:pos="504"/>
      </w:tabs>
      <w:ind w:left="504" w:hanging="864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4F6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4B4F6D"/>
    <w:rPr>
      <w:rFonts w:ascii="Arial" w:eastAsia="Times New Roman" w:hAnsi="Arial" w:cs="Times New Roman"/>
      <w:b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4B4F6D"/>
  </w:style>
  <w:style w:type="character" w:customStyle="1" w:styleId="BodyText3Char">
    <w:name w:val="Body Text 3 Char"/>
    <w:basedOn w:val="DefaultParagraphFont"/>
    <w:link w:val="BodyText3"/>
    <w:uiPriority w:val="99"/>
    <w:rsid w:val="004B4F6D"/>
    <w:rPr>
      <w:rFonts w:ascii="Arial" w:eastAsia="Times New Roman" w:hAnsi="Arial" w:cs="Times New Roman"/>
      <w:szCs w:val="20"/>
      <w:lang w:val="en-US"/>
    </w:rPr>
  </w:style>
  <w:style w:type="table" w:styleId="TableGrid">
    <w:name w:val="Table Grid"/>
    <w:basedOn w:val="TableNormal"/>
    <w:rsid w:val="004B4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4F6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C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5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pc.nsw.gov.au/programs_and_services/boards_and_committe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oards.dpc.nsw.gov.au/online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70AC893D06E4B873F290B86F7ADA8" ma:contentTypeVersion="12" ma:contentTypeDescription="Create a new document." ma:contentTypeScope="" ma:versionID="03e80c4e37d6929814f7eb90efcb031a">
  <xsd:schema xmlns:xsd="http://www.w3.org/2001/XMLSchema" xmlns:xs="http://www.w3.org/2001/XMLSchema" xmlns:p="http://schemas.microsoft.com/office/2006/metadata/properties" xmlns:ns3="a70a3cfb-39fd-4d7d-96b9-1766fca0b75c" xmlns:ns4="0777f367-b6c5-4fb7-a6b6-0a98a925e337" targetNamespace="http://schemas.microsoft.com/office/2006/metadata/properties" ma:root="true" ma:fieldsID="ed0b842f3fc8d924585a6a9fe4b1a0ec" ns3:_="" ns4:_="">
    <xsd:import namespace="a70a3cfb-39fd-4d7d-96b9-1766fca0b75c"/>
    <xsd:import namespace="0777f367-b6c5-4fb7-a6b6-0a98a925e3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a3cfb-39fd-4d7d-96b9-1766fca0b7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7f367-b6c5-4fb7-a6b6-0a98a925e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70B6B-F3C4-45B2-A2A3-DA89DE30A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00A8A-53C8-434B-9626-B162F40CF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a3cfb-39fd-4d7d-96b9-1766fca0b75c"/>
    <ds:schemaRef ds:uri="0777f367-b6c5-4fb7-a6b6-0a98a925e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23DA36-8FFF-4C57-9075-F4832C2E5B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Shiner</dc:creator>
  <cp:keywords/>
  <dc:description/>
  <cp:lastModifiedBy>Charu Jolly</cp:lastModifiedBy>
  <cp:revision>2</cp:revision>
  <dcterms:created xsi:type="dcterms:W3CDTF">2020-10-26T01:48:00Z</dcterms:created>
  <dcterms:modified xsi:type="dcterms:W3CDTF">2020-10-26T01:48:00Z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0x010100F4770AC893D06E4B873F290B86F7ADA8</vt:lpwstr>
  </property>
</Properties>
</file>