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6"/>
        <w:tblpPr w:leftFromText="180" w:rightFromText="180" w:vertAnchor="page" w:horzAnchor="margin" w:tblpY="2173"/>
        <w:tblW w:w="9206" w:type="dxa"/>
        <w:tblLook w:val="04A0" w:firstRow="1" w:lastRow="0" w:firstColumn="1" w:lastColumn="0" w:noHBand="0" w:noVBand="1"/>
      </w:tblPr>
      <w:tblGrid>
        <w:gridCol w:w="9206"/>
      </w:tblGrid>
      <w:tr w:rsidR="00B80A21" w:rsidTr="005B6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vAlign w:val="center"/>
          </w:tcPr>
          <w:p w:rsidR="00B80A21" w:rsidRPr="00372329" w:rsidRDefault="00DB574A" w:rsidP="005B65B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Categories</w:t>
            </w:r>
            <w:r w:rsidR="00B80A21" w:rsidRPr="00372329">
              <w:rPr>
                <w:rFonts w:ascii="Arial" w:hAnsi="Arial" w:cs="Arial"/>
                <w:sz w:val="24"/>
                <w:szCs w:val="24"/>
              </w:rPr>
              <w:t xml:space="preserve"> and Capabilities</w:t>
            </w:r>
          </w:p>
        </w:tc>
      </w:tr>
      <w:tr w:rsidR="00B80A21" w:rsidTr="005B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B80A21" w:rsidRPr="00AC29A3" w:rsidRDefault="001D406E" w:rsidP="005B65B2">
            <w:pPr>
              <w:spacing w:before="60" w:after="60" w:line="276" w:lineRule="auto"/>
              <w:rPr>
                <w:rFonts w:ascii="Arial" w:hAnsi="Arial" w:cs="Arial"/>
              </w:rPr>
            </w:pPr>
            <w:r w:rsidRPr="00AC29A3">
              <w:rPr>
                <w:rFonts w:ascii="Arial" w:hAnsi="Arial" w:cs="Arial"/>
              </w:rPr>
              <w:t xml:space="preserve">Rolling Stock </w:t>
            </w:r>
            <w:r w:rsidR="00B80A21" w:rsidRPr="00AC29A3">
              <w:rPr>
                <w:rFonts w:ascii="Arial" w:hAnsi="Arial" w:cs="Arial"/>
              </w:rPr>
              <w:t>System</w:t>
            </w:r>
            <w:r w:rsidR="00436F8C" w:rsidRPr="00AC29A3">
              <w:rPr>
                <w:rFonts w:ascii="Arial" w:hAnsi="Arial" w:cs="Arial"/>
              </w:rPr>
              <w:t>s</w:t>
            </w:r>
            <w:r w:rsidR="00B80A21" w:rsidRPr="00AC29A3">
              <w:rPr>
                <w:rFonts w:ascii="Arial" w:hAnsi="Arial" w:cs="Arial"/>
              </w:rPr>
              <w:t xml:space="preserve"> Trials and Asset Works</w:t>
            </w:r>
          </w:p>
          <w:p w:rsidR="00B80A21" w:rsidRPr="00202674" w:rsidRDefault="00B80A21" w:rsidP="00AC29A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202674">
              <w:rPr>
                <w:rFonts w:ascii="Arial" w:hAnsi="Arial" w:cs="Arial"/>
                <w:b w:val="0"/>
              </w:rPr>
              <w:t>Design, Supply, Install, Commission (Trials)</w:t>
            </w:r>
          </w:p>
          <w:p w:rsidR="00E36F50" w:rsidRPr="00202674" w:rsidRDefault="00E36F50" w:rsidP="00AC29A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202674">
              <w:rPr>
                <w:rFonts w:ascii="Arial" w:hAnsi="Arial" w:cs="Arial"/>
                <w:b w:val="0"/>
              </w:rPr>
              <w:t>Fleet Roll Out and Support</w:t>
            </w:r>
          </w:p>
          <w:p w:rsidR="00B80A21" w:rsidRPr="00202674" w:rsidRDefault="00B80A21" w:rsidP="00AC29A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202674">
              <w:rPr>
                <w:rFonts w:ascii="Arial" w:hAnsi="Arial" w:cs="Arial"/>
                <w:b w:val="0"/>
              </w:rPr>
              <w:t>Red</w:t>
            </w:r>
            <w:r w:rsidR="001D406E" w:rsidRPr="00202674">
              <w:rPr>
                <w:rFonts w:ascii="Arial" w:hAnsi="Arial" w:cs="Arial"/>
                <w:b w:val="0"/>
              </w:rPr>
              <w:t>esign, Modification, Supply</w:t>
            </w:r>
          </w:p>
          <w:p w:rsidR="00B95F0D" w:rsidRDefault="001D406E" w:rsidP="00AC29A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202674">
              <w:rPr>
                <w:rFonts w:ascii="Arial" w:hAnsi="Arial" w:cs="Arial"/>
                <w:b w:val="0"/>
              </w:rPr>
              <w:t>Asset Works / Refurbishment / Overhaul</w:t>
            </w:r>
          </w:p>
          <w:p w:rsidR="008667CE" w:rsidRPr="008667CE" w:rsidRDefault="0042355C" w:rsidP="008667C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42355C">
              <w:rPr>
                <w:rFonts w:ascii="Arial" w:hAnsi="Arial" w:cs="Arial"/>
                <w:sz w:val="14"/>
                <w:szCs w:val="14"/>
              </w:rPr>
              <w:t>If the vendor is</w:t>
            </w:r>
            <w:r>
              <w:rPr>
                <w:rFonts w:ascii="Arial" w:hAnsi="Arial" w:cs="Arial"/>
                <w:sz w:val="14"/>
                <w:szCs w:val="14"/>
              </w:rPr>
              <w:t xml:space="preserve"> applying for (A)</w:t>
            </w:r>
            <w:r w:rsidRPr="0042355C">
              <w:rPr>
                <w:rFonts w:ascii="Arial" w:hAnsi="Arial" w:cs="Arial"/>
                <w:sz w:val="14"/>
                <w:szCs w:val="14"/>
              </w:rPr>
              <w:t xml:space="preserve"> group categories the vendor must be able to demonstrate the relevant Capabilities </w:t>
            </w:r>
            <w:r w:rsidR="00AE6A6B">
              <w:rPr>
                <w:rFonts w:ascii="Arial" w:hAnsi="Arial" w:cs="Arial"/>
                <w:sz w:val="14"/>
                <w:szCs w:val="14"/>
              </w:rPr>
              <w:t>from the following list of systems:</w:t>
            </w:r>
            <w:r w:rsidR="008667CE" w:rsidRPr="008667CE">
              <w:rPr>
                <w:rFonts w:ascii="Arial" w:hAnsi="Arial" w:cs="Arial"/>
                <w:b w:val="0"/>
                <w:sz w:val="14"/>
                <w:szCs w:val="14"/>
              </w:rPr>
              <w:t xml:space="preserve">  </w:t>
            </w:r>
            <w:r w:rsidR="00AE6A6B">
              <w:rPr>
                <w:rFonts w:ascii="Arial" w:hAnsi="Arial" w:cs="Arial"/>
                <w:b w:val="0"/>
                <w:sz w:val="14"/>
                <w:szCs w:val="14"/>
              </w:rPr>
              <w:t>Rolling Stock</w:t>
            </w:r>
            <w:r w:rsidR="008667CE" w:rsidRPr="008667CE">
              <w:rPr>
                <w:rFonts w:ascii="Arial" w:hAnsi="Arial" w:cs="Arial"/>
                <w:b w:val="0"/>
                <w:sz w:val="14"/>
                <w:szCs w:val="14"/>
              </w:rPr>
              <w:t xml:space="preserve"> Systems (including but not limited</w:t>
            </w:r>
            <w:r w:rsidR="008667CE">
              <w:rPr>
                <w:rFonts w:ascii="Arial" w:hAnsi="Arial" w:cs="Arial"/>
                <w:b w:val="0"/>
                <w:sz w:val="14"/>
                <w:szCs w:val="14"/>
              </w:rPr>
              <w:t xml:space="preserve"> to): - Body - Bogie – Intercar </w:t>
            </w:r>
            <w:r w:rsidR="008667CE" w:rsidRPr="008667CE">
              <w:rPr>
                <w:rFonts w:ascii="Arial" w:hAnsi="Arial" w:cs="Arial"/>
                <w:b w:val="0"/>
                <w:sz w:val="14"/>
                <w:szCs w:val="14"/>
              </w:rPr>
              <w:t>Connectors - Door Systems - Braking Systems - Pneumatics (</w:t>
            </w:r>
            <w:r w:rsidR="008667CE">
              <w:rPr>
                <w:rFonts w:ascii="Arial" w:hAnsi="Arial" w:cs="Arial"/>
                <w:b w:val="0"/>
                <w:sz w:val="14"/>
                <w:szCs w:val="14"/>
              </w:rPr>
              <w:t xml:space="preserve">other than braking) – Auxiliary </w:t>
            </w:r>
            <w:r w:rsidR="008667CE" w:rsidRPr="008667CE">
              <w:rPr>
                <w:rFonts w:ascii="Arial" w:hAnsi="Arial" w:cs="Arial"/>
                <w:b w:val="0"/>
                <w:sz w:val="14"/>
                <w:szCs w:val="14"/>
              </w:rPr>
              <w:t>Equipment - Climate Control - Traction Systems - Auxiliary Power Suppl</w:t>
            </w:r>
            <w:r w:rsidR="008667CE">
              <w:rPr>
                <w:rFonts w:ascii="Arial" w:hAnsi="Arial" w:cs="Arial"/>
                <w:b w:val="0"/>
                <w:sz w:val="14"/>
                <w:szCs w:val="14"/>
              </w:rPr>
              <w:t xml:space="preserve">y - Main Power </w:t>
            </w:r>
            <w:r w:rsidR="008667CE" w:rsidRPr="008667CE">
              <w:rPr>
                <w:rFonts w:ascii="Arial" w:hAnsi="Arial" w:cs="Arial"/>
                <w:b w:val="0"/>
                <w:sz w:val="14"/>
                <w:szCs w:val="14"/>
              </w:rPr>
              <w:t>Supply - Lighting - Indicators, Control &amp; Monitoring S</w:t>
            </w:r>
            <w:r w:rsidR="008667CE">
              <w:rPr>
                <w:rFonts w:ascii="Arial" w:hAnsi="Arial" w:cs="Arial"/>
                <w:b w:val="0"/>
                <w:sz w:val="14"/>
                <w:szCs w:val="14"/>
              </w:rPr>
              <w:t xml:space="preserve">ystems - Communications – Water </w:t>
            </w:r>
            <w:r w:rsidR="008667CE" w:rsidRPr="008667CE">
              <w:rPr>
                <w:rFonts w:ascii="Arial" w:hAnsi="Arial" w:cs="Arial"/>
                <w:b w:val="0"/>
                <w:sz w:val="14"/>
                <w:szCs w:val="14"/>
              </w:rPr>
              <w:t>Systems - Catering Equipment - Diesel Engine Systems (Main Engine)</w:t>
            </w:r>
          </w:p>
          <w:p w:rsidR="00AC29A3" w:rsidRPr="008667CE" w:rsidRDefault="00AC29A3" w:rsidP="00AC29A3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B80A21" w:rsidTr="00AE6A6B">
        <w:trPr>
          <w:trHeight w:val="2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1D406E" w:rsidRPr="00AC29A3" w:rsidRDefault="00B80A21" w:rsidP="005B65B2">
            <w:pPr>
              <w:spacing w:before="60" w:after="60" w:line="276" w:lineRule="auto"/>
              <w:rPr>
                <w:rFonts w:ascii="Arial" w:hAnsi="Arial" w:cs="Arial"/>
              </w:rPr>
            </w:pPr>
            <w:r w:rsidRPr="00AC29A3">
              <w:rPr>
                <w:rFonts w:ascii="Arial" w:hAnsi="Arial" w:cs="Arial"/>
              </w:rPr>
              <w:t>Rolling Stock System Design</w:t>
            </w:r>
          </w:p>
          <w:p w:rsidR="00E36F50" w:rsidRPr="00202674" w:rsidRDefault="00E36F50" w:rsidP="00AC29A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202674">
              <w:rPr>
                <w:rFonts w:ascii="Arial" w:hAnsi="Arial" w:cs="Arial"/>
                <w:b w:val="0"/>
              </w:rPr>
              <w:t>Engineering Concept Design</w:t>
            </w:r>
          </w:p>
          <w:p w:rsidR="00E36F50" w:rsidRPr="00DB574A" w:rsidRDefault="00E36F50" w:rsidP="00AC29A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202674">
              <w:rPr>
                <w:rFonts w:ascii="Arial" w:hAnsi="Arial" w:cs="Arial"/>
                <w:b w:val="0"/>
              </w:rPr>
              <w:t>Engineering to Final Design</w:t>
            </w:r>
          </w:p>
          <w:p w:rsidR="00E36F50" w:rsidRDefault="001D406E" w:rsidP="00AC29A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202674">
              <w:rPr>
                <w:rFonts w:ascii="Arial" w:hAnsi="Arial" w:cs="Arial"/>
                <w:b w:val="0"/>
              </w:rPr>
              <w:t xml:space="preserve">Investigations </w:t>
            </w:r>
          </w:p>
          <w:p w:rsidR="001D406E" w:rsidRDefault="001D406E" w:rsidP="00AC29A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202674">
              <w:rPr>
                <w:rFonts w:ascii="Arial" w:hAnsi="Arial" w:cs="Arial"/>
                <w:b w:val="0"/>
              </w:rPr>
              <w:t>Design Assessment and Recommendations</w:t>
            </w:r>
          </w:p>
          <w:p w:rsidR="00AE6A6B" w:rsidRPr="008667CE" w:rsidRDefault="00AE6A6B" w:rsidP="00AE6A6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42355C">
              <w:rPr>
                <w:rFonts w:ascii="Arial" w:hAnsi="Arial" w:cs="Arial"/>
                <w:sz w:val="14"/>
                <w:szCs w:val="14"/>
              </w:rPr>
              <w:t>If the vendor is</w:t>
            </w:r>
            <w:r>
              <w:rPr>
                <w:rFonts w:ascii="Arial" w:hAnsi="Arial" w:cs="Arial"/>
                <w:sz w:val="14"/>
                <w:szCs w:val="14"/>
              </w:rPr>
              <w:t xml:space="preserve"> applying for (B)</w:t>
            </w:r>
            <w:r w:rsidRPr="0042355C">
              <w:rPr>
                <w:rFonts w:ascii="Arial" w:hAnsi="Arial" w:cs="Arial"/>
                <w:sz w:val="14"/>
                <w:szCs w:val="14"/>
              </w:rPr>
              <w:t xml:space="preserve"> group categories the vendor must be able to demonstrate the relevant Capabilities </w:t>
            </w:r>
            <w:r>
              <w:rPr>
                <w:rFonts w:ascii="Arial" w:hAnsi="Arial" w:cs="Arial"/>
                <w:sz w:val="14"/>
                <w:szCs w:val="14"/>
              </w:rPr>
              <w:t>from the following list of systems:</w:t>
            </w:r>
            <w:r w:rsidRPr="008667CE">
              <w:rPr>
                <w:rFonts w:ascii="Arial" w:hAnsi="Arial" w:cs="Arial"/>
                <w:b w:val="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Rolling Stock</w:t>
            </w:r>
            <w:r w:rsidRPr="008667CE">
              <w:rPr>
                <w:rFonts w:ascii="Arial" w:hAnsi="Arial" w:cs="Arial"/>
                <w:b w:val="0"/>
                <w:sz w:val="14"/>
                <w:szCs w:val="14"/>
              </w:rPr>
              <w:t xml:space="preserve"> Systems (including but not limited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to): - Body - Bogie – Intercar </w:t>
            </w:r>
            <w:r w:rsidRPr="008667CE">
              <w:rPr>
                <w:rFonts w:ascii="Arial" w:hAnsi="Arial" w:cs="Arial"/>
                <w:b w:val="0"/>
                <w:sz w:val="14"/>
                <w:szCs w:val="14"/>
              </w:rPr>
              <w:t>Connectors - Door Systems - Braking Systems - Pneumatics (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other than braking) – Auxiliary </w:t>
            </w:r>
            <w:r w:rsidRPr="008667CE">
              <w:rPr>
                <w:rFonts w:ascii="Arial" w:hAnsi="Arial" w:cs="Arial"/>
                <w:b w:val="0"/>
                <w:sz w:val="14"/>
                <w:szCs w:val="14"/>
              </w:rPr>
              <w:t>Equipment - Climate Control - Traction Systems - Auxiliary Power Suppl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y - Main Power </w:t>
            </w:r>
            <w:r w:rsidRPr="008667CE">
              <w:rPr>
                <w:rFonts w:ascii="Arial" w:hAnsi="Arial" w:cs="Arial"/>
                <w:b w:val="0"/>
                <w:sz w:val="14"/>
                <w:szCs w:val="14"/>
              </w:rPr>
              <w:t>Supply - Lighting - Indicators, Control &amp; Monitoring S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ystems - Communications – Water </w:t>
            </w:r>
            <w:r w:rsidRPr="008667CE">
              <w:rPr>
                <w:rFonts w:ascii="Arial" w:hAnsi="Arial" w:cs="Arial"/>
                <w:b w:val="0"/>
                <w:sz w:val="14"/>
                <w:szCs w:val="14"/>
              </w:rPr>
              <w:t>Systems - Catering Equipment - Diesel Engine Systems (Main Engine)</w:t>
            </w:r>
          </w:p>
          <w:p w:rsidR="00B95F0D" w:rsidRPr="00AE6A6B" w:rsidRDefault="00B95F0D" w:rsidP="00AE6A6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B80A21" w:rsidTr="00AE6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B80A21" w:rsidRPr="00AC29A3" w:rsidRDefault="00524270" w:rsidP="005B65B2">
            <w:pPr>
              <w:spacing w:before="60" w:after="60" w:line="276" w:lineRule="auto"/>
              <w:rPr>
                <w:rFonts w:ascii="Arial" w:hAnsi="Arial" w:cs="Arial"/>
              </w:rPr>
            </w:pPr>
            <w:r w:rsidRPr="00AC29A3">
              <w:rPr>
                <w:rFonts w:ascii="Arial" w:hAnsi="Arial" w:cs="Arial"/>
              </w:rPr>
              <w:t xml:space="preserve">Rolling Stock </w:t>
            </w:r>
            <w:r w:rsidR="00B80A21" w:rsidRPr="00AC29A3">
              <w:rPr>
                <w:rFonts w:ascii="Arial" w:hAnsi="Arial" w:cs="Arial"/>
              </w:rPr>
              <w:t>Engineering Reports – Asset Support Services</w:t>
            </w:r>
          </w:p>
          <w:p w:rsidR="00E36F50" w:rsidRPr="00202674" w:rsidRDefault="00E36F50" w:rsidP="00AC29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202674">
              <w:rPr>
                <w:rFonts w:ascii="Arial" w:hAnsi="Arial" w:cs="Arial"/>
                <w:b w:val="0"/>
              </w:rPr>
              <w:t>Scope of Work</w:t>
            </w:r>
            <w:r w:rsidR="00436F8C">
              <w:rPr>
                <w:rFonts w:ascii="Arial" w:hAnsi="Arial" w:cs="Arial"/>
                <w:b w:val="0"/>
              </w:rPr>
              <w:t>s</w:t>
            </w:r>
            <w:r w:rsidRPr="00202674">
              <w:rPr>
                <w:rFonts w:ascii="Arial" w:hAnsi="Arial" w:cs="Arial"/>
                <w:b w:val="0"/>
              </w:rPr>
              <w:t xml:space="preserve"> Development / Cost Estimates</w:t>
            </w:r>
          </w:p>
          <w:p w:rsidR="00662223" w:rsidRPr="00202674" w:rsidRDefault="00524270" w:rsidP="00AC29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202674">
              <w:rPr>
                <w:rFonts w:ascii="Arial" w:hAnsi="Arial" w:cs="Arial"/>
                <w:b w:val="0"/>
              </w:rPr>
              <w:t>Report</w:t>
            </w:r>
            <w:r w:rsidR="00E36F50">
              <w:rPr>
                <w:rFonts w:ascii="Arial" w:hAnsi="Arial" w:cs="Arial"/>
                <w:b w:val="0"/>
              </w:rPr>
              <w:t xml:space="preserve">ing for </w:t>
            </w:r>
            <w:r w:rsidR="00662223" w:rsidRPr="00202674">
              <w:rPr>
                <w:rFonts w:ascii="Arial" w:hAnsi="Arial" w:cs="Arial"/>
                <w:b w:val="0"/>
              </w:rPr>
              <w:t>Repair / Overhaul / Repla</w:t>
            </w:r>
            <w:r w:rsidR="00E36F50">
              <w:rPr>
                <w:rFonts w:ascii="Arial" w:hAnsi="Arial" w:cs="Arial"/>
                <w:b w:val="0"/>
              </w:rPr>
              <w:t>cement / Modification / Upgrade</w:t>
            </w:r>
          </w:p>
          <w:p w:rsidR="00E36F50" w:rsidRDefault="00E36F50" w:rsidP="00AC29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Condition Assessment Reports and </w:t>
            </w:r>
            <w:r w:rsidRPr="00202674">
              <w:rPr>
                <w:rFonts w:ascii="Arial" w:hAnsi="Arial" w:cs="Arial"/>
                <w:b w:val="0"/>
              </w:rPr>
              <w:t>Asset Management Plans</w:t>
            </w:r>
          </w:p>
          <w:p w:rsidR="00B95F0D" w:rsidRPr="00AE6A6B" w:rsidRDefault="00662223" w:rsidP="00AE6A6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202674">
              <w:rPr>
                <w:rFonts w:ascii="Arial" w:hAnsi="Arial" w:cs="Arial"/>
                <w:b w:val="0"/>
              </w:rPr>
              <w:t>Inspection and Testing Regime</w:t>
            </w:r>
          </w:p>
        </w:tc>
      </w:tr>
      <w:tr w:rsidR="00E36F50" w:rsidTr="00AE6A6B">
        <w:trPr>
          <w:trHeight w:val="2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E36F50" w:rsidRPr="00AC29A3" w:rsidRDefault="00E36F50" w:rsidP="005B65B2">
            <w:pPr>
              <w:spacing w:before="60" w:after="60"/>
              <w:rPr>
                <w:rFonts w:ascii="Arial" w:hAnsi="Arial" w:cs="Arial"/>
              </w:rPr>
            </w:pPr>
            <w:r w:rsidRPr="00AC29A3">
              <w:rPr>
                <w:rFonts w:ascii="Arial" w:hAnsi="Arial" w:cs="Arial"/>
              </w:rPr>
              <w:t>Rolling Stock Simulation Analysis</w:t>
            </w:r>
          </w:p>
          <w:p w:rsidR="00E36F50" w:rsidRPr="00202674" w:rsidRDefault="00E36F50" w:rsidP="00AC29A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202674">
              <w:rPr>
                <w:rFonts w:ascii="Arial" w:hAnsi="Arial" w:cs="Arial"/>
                <w:b w:val="0"/>
              </w:rPr>
              <w:t xml:space="preserve">Structural </w:t>
            </w:r>
            <w:r w:rsidR="00436F8C">
              <w:rPr>
                <w:rFonts w:ascii="Arial" w:hAnsi="Arial" w:cs="Arial"/>
                <w:b w:val="0"/>
              </w:rPr>
              <w:t xml:space="preserve">Integrity Assurance and </w:t>
            </w:r>
            <w:r w:rsidRPr="00202674">
              <w:rPr>
                <w:rFonts w:ascii="Arial" w:hAnsi="Arial" w:cs="Arial"/>
                <w:b w:val="0"/>
              </w:rPr>
              <w:t xml:space="preserve">Analysis </w:t>
            </w:r>
          </w:p>
          <w:p w:rsidR="00436F8C" w:rsidRDefault="00436F8C" w:rsidP="00AC29A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Linear and Non Linear Status Analysis and Steady State and Transient Heat </w:t>
            </w:r>
            <w:r w:rsidR="00AC29A3">
              <w:rPr>
                <w:rFonts w:ascii="Arial" w:hAnsi="Arial" w:cs="Arial"/>
                <w:b w:val="0"/>
              </w:rPr>
              <w:t xml:space="preserve">   </w:t>
            </w:r>
            <w:r>
              <w:rPr>
                <w:rFonts w:ascii="Arial" w:hAnsi="Arial" w:cs="Arial"/>
                <w:b w:val="0"/>
              </w:rPr>
              <w:t>Transfer Analysis</w:t>
            </w:r>
          </w:p>
          <w:p w:rsidR="00E36F50" w:rsidRPr="00202674" w:rsidRDefault="00E36F50" w:rsidP="00AC29A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202674">
              <w:rPr>
                <w:rFonts w:ascii="Arial" w:hAnsi="Arial" w:cs="Arial"/>
                <w:b w:val="0"/>
              </w:rPr>
              <w:t>Fatigue Life Estimation</w:t>
            </w:r>
          </w:p>
          <w:p w:rsidR="00E36F50" w:rsidRDefault="00436F8C" w:rsidP="00AC29A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Buckling Analysis</w:t>
            </w:r>
          </w:p>
          <w:p w:rsidR="00436F8C" w:rsidRDefault="00436F8C" w:rsidP="00AC29A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Transient Dynamic Behaviour Analysis</w:t>
            </w:r>
          </w:p>
          <w:p w:rsidR="000C6523" w:rsidRPr="00AE6A6B" w:rsidRDefault="00436F8C" w:rsidP="00AE6A6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Spectral and Harmonic Response Analysis </w:t>
            </w:r>
          </w:p>
        </w:tc>
      </w:tr>
      <w:tr w:rsidR="00E36F50" w:rsidTr="005B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E36F50" w:rsidRPr="00AC29A3" w:rsidRDefault="00E36F50" w:rsidP="005B65B2">
            <w:pPr>
              <w:spacing w:before="60" w:after="60"/>
              <w:rPr>
                <w:rFonts w:ascii="Arial" w:hAnsi="Arial" w:cs="Arial"/>
              </w:rPr>
            </w:pPr>
            <w:r w:rsidRPr="00AC29A3">
              <w:rPr>
                <w:rFonts w:ascii="Arial" w:hAnsi="Arial" w:cs="Arial"/>
              </w:rPr>
              <w:t>Rolling Stock Scientific Services</w:t>
            </w:r>
          </w:p>
          <w:p w:rsidR="00E36F50" w:rsidRDefault="003A6391" w:rsidP="00AC29A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Material Study, Scientific Testing and </w:t>
            </w:r>
            <w:r w:rsidR="00E36F50">
              <w:rPr>
                <w:rFonts w:ascii="Arial" w:hAnsi="Arial" w:cs="Arial"/>
                <w:b w:val="0"/>
              </w:rPr>
              <w:t>Metallurgical Assessments</w:t>
            </w:r>
          </w:p>
          <w:p w:rsidR="00E36F50" w:rsidRPr="00202674" w:rsidRDefault="00E36F50" w:rsidP="00AC29A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202674">
              <w:rPr>
                <w:rFonts w:ascii="Arial" w:hAnsi="Arial" w:cs="Arial"/>
                <w:b w:val="0"/>
              </w:rPr>
              <w:t>Chemical Analysis</w:t>
            </w:r>
          </w:p>
          <w:p w:rsidR="00E36F50" w:rsidRPr="00E36F50" w:rsidRDefault="00E36F50" w:rsidP="00AC29A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202674">
              <w:rPr>
                <w:rFonts w:ascii="Arial" w:hAnsi="Arial" w:cs="Arial"/>
                <w:b w:val="0"/>
              </w:rPr>
              <w:t>Non Destructive Testing</w:t>
            </w:r>
            <w:r w:rsidR="003A6391">
              <w:rPr>
                <w:rFonts w:ascii="Arial" w:hAnsi="Arial" w:cs="Arial"/>
                <w:b w:val="0"/>
              </w:rPr>
              <w:t xml:space="preserve"> and Inspections</w:t>
            </w:r>
          </w:p>
          <w:p w:rsidR="00E36F50" w:rsidRDefault="00E36F50" w:rsidP="00AC29A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Quality Control and </w:t>
            </w:r>
            <w:r w:rsidRPr="00202674">
              <w:rPr>
                <w:rFonts w:ascii="Arial" w:hAnsi="Arial" w:cs="Arial"/>
                <w:b w:val="0"/>
              </w:rPr>
              <w:t>Weld Inspection</w:t>
            </w:r>
            <w:r>
              <w:rPr>
                <w:rFonts w:ascii="Arial" w:hAnsi="Arial" w:cs="Arial"/>
                <w:b w:val="0"/>
              </w:rPr>
              <w:t>s</w:t>
            </w:r>
          </w:p>
          <w:p w:rsidR="00E36F50" w:rsidRDefault="00E36F50" w:rsidP="00AC29A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202674">
              <w:rPr>
                <w:rFonts w:ascii="Arial" w:hAnsi="Arial" w:cs="Arial"/>
                <w:b w:val="0"/>
              </w:rPr>
              <w:t>Corrosion Inspection</w:t>
            </w:r>
          </w:p>
          <w:p w:rsidR="00E36F50" w:rsidRPr="000C6523" w:rsidRDefault="00E36F50" w:rsidP="000C652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E36F50" w:rsidTr="00AE6A6B">
        <w:trPr>
          <w:trHeight w:val="1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E36F50" w:rsidRPr="00AC29A3" w:rsidRDefault="00E36F50" w:rsidP="005B65B2">
            <w:pPr>
              <w:spacing w:before="60" w:after="60"/>
              <w:rPr>
                <w:rFonts w:ascii="Arial" w:hAnsi="Arial" w:cs="Arial"/>
              </w:rPr>
            </w:pPr>
            <w:r w:rsidRPr="00AC29A3">
              <w:rPr>
                <w:rFonts w:ascii="Arial" w:hAnsi="Arial" w:cs="Arial"/>
              </w:rPr>
              <w:t>Rolling Stock System Assurance</w:t>
            </w:r>
          </w:p>
          <w:p w:rsidR="003A6391" w:rsidRDefault="003A6391" w:rsidP="00AC29A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202674">
              <w:rPr>
                <w:rFonts w:ascii="Arial" w:hAnsi="Arial" w:cs="Arial"/>
                <w:b w:val="0"/>
              </w:rPr>
              <w:t>RAMS (Reliability, Availability, Maintainability, Serviceability) Analysis</w:t>
            </w:r>
          </w:p>
          <w:p w:rsidR="003A6391" w:rsidRDefault="003A6391" w:rsidP="00AC29A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202674">
              <w:rPr>
                <w:rFonts w:ascii="Arial" w:hAnsi="Arial" w:cs="Arial"/>
                <w:b w:val="0"/>
              </w:rPr>
              <w:t>Risk Analysis</w:t>
            </w:r>
          </w:p>
          <w:p w:rsidR="003A6391" w:rsidRPr="003A6391" w:rsidRDefault="003A6391" w:rsidP="00AC29A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Maintenance Optimisation</w:t>
            </w:r>
          </w:p>
          <w:p w:rsidR="00E36F50" w:rsidRPr="00202674" w:rsidRDefault="00E36F50" w:rsidP="00AC29A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202674">
              <w:rPr>
                <w:rFonts w:ascii="Arial" w:hAnsi="Arial" w:cs="Arial"/>
                <w:b w:val="0"/>
              </w:rPr>
              <w:t>Deterioration Modelling</w:t>
            </w:r>
          </w:p>
          <w:p w:rsidR="00E36F50" w:rsidRPr="00AE6A6B" w:rsidRDefault="00E36F50" w:rsidP="00AE6A6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202674">
              <w:rPr>
                <w:rFonts w:ascii="Arial" w:hAnsi="Arial" w:cs="Arial"/>
                <w:b w:val="0"/>
              </w:rPr>
              <w:t>Assurance Inspections</w:t>
            </w:r>
          </w:p>
        </w:tc>
      </w:tr>
    </w:tbl>
    <w:p w:rsidR="0021212F" w:rsidRPr="0021212F" w:rsidRDefault="0021212F" w:rsidP="005B65B2">
      <w:pPr>
        <w:tabs>
          <w:tab w:val="left" w:pos="948"/>
        </w:tabs>
        <w:spacing w:before="480"/>
        <w:rPr>
          <w:rFonts w:ascii="Arial" w:hAnsi="Arial" w:cs="Arial"/>
          <w:sz w:val="24"/>
          <w:szCs w:val="24"/>
          <w:u w:val="single"/>
        </w:rPr>
      </w:pPr>
      <w:r w:rsidRPr="0021212F">
        <w:rPr>
          <w:rFonts w:ascii="Arial" w:hAnsi="Arial" w:cs="Arial"/>
          <w:sz w:val="24"/>
          <w:szCs w:val="24"/>
          <w:u w:val="single"/>
        </w:rPr>
        <w:lastRenderedPageBreak/>
        <w:t>Rolling Stock Systems</w:t>
      </w:r>
    </w:p>
    <w:p w:rsidR="00522F01" w:rsidRDefault="00522F01" w:rsidP="00747AB0">
      <w:pPr>
        <w:spacing w:after="120"/>
        <w:rPr>
          <w:rFonts w:ascii="Arial" w:hAnsi="Arial" w:cs="Arial"/>
        </w:rPr>
      </w:pPr>
      <w:r w:rsidRPr="00522F01">
        <w:rPr>
          <w:rFonts w:ascii="Arial" w:hAnsi="Arial" w:cs="Arial"/>
        </w:rPr>
        <w:t xml:space="preserve">Suppliers that </w:t>
      </w:r>
      <w:r>
        <w:rPr>
          <w:rFonts w:ascii="Arial" w:hAnsi="Arial" w:cs="Arial"/>
        </w:rPr>
        <w:t xml:space="preserve">register for </w:t>
      </w:r>
      <w:r w:rsidR="0032163F">
        <w:rPr>
          <w:rFonts w:ascii="Arial" w:hAnsi="Arial" w:cs="Arial"/>
        </w:rPr>
        <w:t xml:space="preserve">Rolling Stock </w:t>
      </w:r>
      <w:r w:rsidR="00DB574A">
        <w:rPr>
          <w:rFonts w:ascii="Arial" w:hAnsi="Arial" w:cs="Arial"/>
        </w:rPr>
        <w:t>System</w:t>
      </w:r>
      <w:r w:rsidR="00436F8C">
        <w:rPr>
          <w:rFonts w:ascii="Arial" w:hAnsi="Arial" w:cs="Arial"/>
        </w:rPr>
        <w:t>s</w:t>
      </w:r>
      <w:r w:rsidR="00DB574A">
        <w:rPr>
          <w:rFonts w:ascii="Arial" w:hAnsi="Arial" w:cs="Arial"/>
        </w:rPr>
        <w:t xml:space="preserve"> Trials and Asset Works </w:t>
      </w:r>
      <w:r w:rsidR="00E36F50">
        <w:rPr>
          <w:rFonts w:ascii="Arial" w:hAnsi="Arial" w:cs="Arial"/>
        </w:rPr>
        <w:t xml:space="preserve">or </w:t>
      </w:r>
      <w:r w:rsidR="0032163F">
        <w:rPr>
          <w:rFonts w:ascii="Arial" w:hAnsi="Arial" w:cs="Arial"/>
        </w:rPr>
        <w:t xml:space="preserve">Rolling Stock </w:t>
      </w:r>
      <w:r>
        <w:rPr>
          <w:rFonts w:ascii="Arial" w:hAnsi="Arial" w:cs="Arial"/>
        </w:rPr>
        <w:t xml:space="preserve">System Design </w:t>
      </w:r>
      <w:r w:rsidR="00436F8C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requested to provide an indication of their experience</w:t>
      </w:r>
      <w:r w:rsidR="00AD6962">
        <w:rPr>
          <w:rFonts w:ascii="Arial" w:hAnsi="Arial" w:cs="Arial"/>
        </w:rPr>
        <w:t xml:space="preserve"> and capability </w:t>
      </w:r>
      <w:r>
        <w:rPr>
          <w:rFonts w:ascii="Arial" w:hAnsi="Arial" w:cs="Arial"/>
        </w:rPr>
        <w:t xml:space="preserve">in the below Rolling Stock Systems.  </w:t>
      </w:r>
    </w:p>
    <w:tbl>
      <w:tblPr>
        <w:tblStyle w:val="LightList-Accent6"/>
        <w:tblpPr w:leftFromText="180" w:rightFromText="180" w:vertAnchor="page" w:horzAnchor="margin" w:tblpY="4117"/>
        <w:tblW w:w="9206" w:type="dxa"/>
        <w:tblLook w:val="04A0" w:firstRow="1" w:lastRow="0" w:firstColumn="1" w:lastColumn="0" w:noHBand="0" w:noVBand="1"/>
      </w:tblPr>
      <w:tblGrid>
        <w:gridCol w:w="4603"/>
        <w:gridCol w:w="4603"/>
      </w:tblGrid>
      <w:tr w:rsidR="00AE6A6B" w:rsidTr="00AE6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  <w:vAlign w:val="center"/>
          </w:tcPr>
          <w:p w:rsidR="00AE6A6B" w:rsidRPr="00372329" w:rsidRDefault="00AE6A6B" w:rsidP="00AE6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Rolling Stock Systems</w:t>
            </w:r>
          </w:p>
        </w:tc>
      </w:tr>
      <w:tr w:rsidR="00AE6A6B" w:rsidTr="00AE6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AE6A6B" w:rsidRPr="00522F01" w:rsidRDefault="00AE6A6B" w:rsidP="00AE6A6B">
            <w:pPr>
              <w:spacing w:before="60" w:after="60"/>
              <w:rPr>
                <w:rFonts w:ascii="Arial" w:hAnsi="Arial" w:cs="Arial"/>
                <w:b w:val="0"/>
              </w:rPr>
            </w:pPr>
            <w:r w:rsidRPr="00522F01">
              <w:rPr>
                <w:rFonts w:ascii="Arial" w:hAnsi="Arial" w:cs="Arial"/>
                <w:b w:val="0"/>
              </w:rPr>
              <w:t>- Body</w:t>
            </w:r>
          </w:p>
          <w:p w:rsidR="00AE6A6B" w:rsidRPr="00522F01" w:rsidRDefault="00AE6A6B" w:rsidP="00AE6A6B">
            <w:pPr>
              <w:spacing w:before="60" w:after="60"/>
              <w:rPr>
                <w:rFonts w:ascii="Arial" w:hAnsi="Arial" w:cs="Arial"/>
                <w:b w:val="0"/>
              </w:rPr>
            </w:pPr>
            <w:r w:rsidRPr="00522F01">
              <w:rPr>
                <w:rFonts w:ascii="Arial" w:hAnsi="Arial" w:cs="Arial"/>
                <w:b w:val="0"/>
              </w:rPr>
              <w:t>- Bogie</w:t>
            </w:r>
          </w:p>
          <w:p w:rsidR="00AE6A6B" w:rsidRPr="00522F01" w:rsidRDefault="00AE6A6B" w:rsidP="00AE6A6B">
            <w:pPr>
              <w:spacing w:before="60" w:after="60"/>
              <w:rPr>
                <w:rFonts w:ascii="Arial" w:hAnsi="Arial" w:cs="Arial"/>
                <w:b w:val="0"/>
              </w:rPr>
            </w:pPr>
            <w:r w:rsidRPr="00522F01">
              <w:rPr>
                <w:rFonts w:ascii="Arial" w:hAnsi="Arial" w:cs="Arial"/>
                <w:b w:val="0"/>
              </w:rPr>
              <w:t>- Intercar Connectors</w:t>
            </w:r>
          </w:p>
          <w:p w:rsidR="00AE6A6B" w:rsidRPr="00522F01" w:rsidRDefault="00AE6A6B" w:rsidP="00AE6A6B">
            <w:pPr>
              <w:spacing w:before="60" w:after="60"/>
              <w:rPr>
                <w:rFonts w:ascii="Arial" w:hAnsi="Arial" w:cs="Arial"/>
                <w:b w:val="0"/>
              </w:rPr>
            </w:pPr>
            <w:r w:rsidRPr="00522F01">
              <w:rPr>
                <w:rFonts w:ascii="Arial" w:hAnsi="Arial" w:cs="Arial"/>
                <w:b w:val="0"/>
              </w:rPr>
              <w:t>- Door Systems</w:t>
            </w:r>
          </w:p>
          <w:p w:rsidR="00AE6A6B" w:rsidRDefault="00AE6A6B" w:rsidP="00AE6A6B">
            <w:pPr>
              <w:spacing w:before="60" w:after="60"/>
              <w:rPr>
                <w:rFonts w:ascii="Arial" w:hAnsi="Arial" w:cs="Arial"/>
                <w:b w:val="0"/>
              </w:rPr>
            </w:pPr>
            <w:r w:rsidRPr="00522F01">
              <w:rPr>
                <w:rFonts w:ascii="Arial" w:hAnsi="Arial" w:cs="Arial"/>
                <w:b w:val="0"/>
              </w:rPr>
              <w:t>- Braking Systems</w:t>
            </w:r>
          </w:p>
          <w:p w:rsidR="00AE6A6B" w:rsidRPr="00522F01" w:rsidRDefault="00AE6A6B" w:rsidP="00AE6A6B">
            <w:pPr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- </w:t>
            </w:r>
            <w:r w:rsidRPr="00522F01">
              <w:rPr>
                <w:rFonts w:ascii="Arial" w:hAnsi="Arial" w:cs="Arial"/>
                <w:b w:val="0"/>
              </w:rPr>
              <w:t>Pneumatics</w:t>
            </w:r>
            <w:r>
              <w:rPr>
                <w:rFonts w:ascii="Arial" w:hAnsi="Arial" w:cs="Arial"/>
                <w:b w:val="0"/>
              </w:rPr>
              <w:t xml:space="preserve"> (other than braking)</w:t>
            </w:r>
          </w:p>
          <w:p w:rsidR="00AE6A6B" w:rsidRPr="00522F01" w:rsidRDefault="00AE6A6B" w:rsidP="00AE6A6B">
            <w:pPr>
              <w:spacing w:before="60" w:after="60"/>
              <w:rPr>
                <w:rFonts w:ascii="Arial" w:hAnsi="Arial" w:cs="Arial"/>
                <w:b w:val="0"/>
              </w:rPr>
            </w:pPr>
            <w:r w:rsidRPr="00522F01">
              <w:rPr>
                <w:rFonts w:ascii="Arial" w:hAnsi="Arial" w:cs="Arial"/>
                <w:b w:val="0"/>
              </w:rPr>
              <w:t>- Auxiliary Equipment</w:t>
            </w:r>
          </w:p>
          <w:p w:rsidR="00AE6A6B" w:rsidRPr="00522F01" w:rsidRDefault="00AE6A6B" w:rsidP="00AE6A6B">
            <w:pPr>
              <w:spacing w:before="60" w:after="60"/>
              <w:rPr>
                <w:rFonts w:ascii="Arial" w:hAnsi="Arial" w:cs="Arial"/>
                <w:b w:val="0"/>
              </w:rPr>
            </w:pPr>
            <w:r w:rsidRPr="00522F01">
              <w:rPr>
                <w:rFonts w:ascii="Arial" w:hAnsi="Arial" w:cs="Arial"/>
                <w:b w:val="0"/>
              </w:rPr>
              <w:t>- Climate Control</w:t>
            </w:r>
          </w:p>
          <w:p w:rsidR="00AE6A6B" w:rsidRPr="00522F01" w:rsidRDefault="00AE6A6B" w:rsidP="00AE6A6B">
            <w:pPr>
              <w:spacing w:before="60" w:after="60"/>
              <w:rPr>
                <w:rFonts w:ascii="Arial" w:hAnsi="Arial" w:cs="Arial"/>
              </w:rPr>
            </w:pPr>
            <w:r w:rsidRPr="005B65B2">
              <w:rPr>
                <w:rFonts w:ascii="Arial" w:hAnsi="Arial" w:cs="Arial"/>
                <w:b w:val="0"/>
              </w:rPr>
              <w:t>-</w:t>
            </w:r>
            <w:r w:rsidRPr="00522F01">
              <w:rPr>
                <w:rFonts w:ascii="Arial" w:hAnsi="Arial" w:cs="Arial"/>
              </w:rPr>
              <w:t xml:space="preserve"> </w:t>
            </w:r>
            <w:r w:rsidRPr="005B65B2">
              <w:rPr>
                <w:rFonts w:ascii="Arial" w:hAnsi="Arial" w:cs="Arial"/>
                <w:b w:val="0"/>
              </w:rPr>
              <w:t>Traction Systems</w:t>
            </w:r>
          </w:p>
          <w:p w:rsidR="00AE6A6B" w:rsidRDefault="00AE6A6B" w:rsidP="00AE6A6B">
            <w:pPr>
              <w:spacing w:before="60" w:after="60" w:line="276" w:lineRule="auto"/>
              <w:rPr>
                <w:rFonts w:ascii="Arial" w:hAnsi="Arial" w:cs="Arial"/>
                <w:b w:val="0"/>
              </w:rPr>
            </w:pPr>
          </w:p>
          <w:p w:rsidR="00AE6A6B" w:rsidRPr="00522F01" w:rsidRDefault="00AE6A6B" w:rsidP="00AE6A6B">
            <w:pPr>
              <w:spacing w:before="60" w:after="60"/>
              <w:rPr>
                <w:rFonts w:ascii="Arial" w:hAnsi="Arial" w:cs="Arial"/>
                <w:bCs w:val="0"/>
              </w:rPr>
            </w:pPr>
          </w:p>
        </w:tc>
        <w:tc>
          <w:tcPr>
            <w:tcW w:w="4603" w:type="dxa"/>
          </w:tcPr>
          <w:p w:rsidR="00AE6A6B" w:rsidRPr="00522F01" w:rsidRDefault="00AE6A6B" w:rsidP="00AE6A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22F01">
              <w:rPr>
                <w:rFonts w:ascii="Arial" w:hAnsi="Arial" w:cs="Arial"/>
              </w:rPr>
              <w:t xml:space="preserve"> Auxiliary Power Supply</w:t>
            </w:r>
          </w:p>
          <w:p w:rsidR="00AE6A6B" w:rsidRPr="00522F01" w:rsidRDefault="00AE6A6B" w:rsidP="00AE6A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F01">
              <w:rPr>
                <w:rFonts w:ascii="Arial" w:hAnsi="Arial" w:cs="Arial"/>
              </w:rPr>
              <w:t>- Main Power Supply</w:t>
            </w:r>
          </w:p>
          <w:p w:rsidR="00AE6A6B" w:rsidRPr="00522F01" w:rsidRDefault="00AE6A6B" w:rsidP="00AE6A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F01">
              <w:rPr>
                <w:rFonts w:ascii="Arial" w:hAnsi="Arial" w:cs="Arial"/>
              </w:rPr>
              <w:t>- Lighting</w:t>
            </w:r>
          </w:p>
          <w:p w:rsidR="00AE6A6B" w:rsidRPr="00522F01" w:rsidRDefault="00AE6A6B" w:rsidP="00AE6A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F01">
              <w:rPr>
                <w:rFonts w:ascii="Arial" w:hAnsi="Arial" w:cs="Arial"/>
              </w:rPr>
              <w:t>- Indicators</w:t>
            </w:r>
            <w:r>
              <w:rPr>
                <w:rFonts w:ascii="Arial" w:hAnsi="Arial" w:cs="Arial"/>
              </w:rPr>
              <w:t xml:space="preserve">, </w:t>
            </w:r>
            <w:r w:rsidRPr="00522F01">
              <w:rPr>
                <w:rFonts w:ascii="Arial" w:hAnsi="Arial" w:cs="Arial"/>
              </w:rPr>
              <w:t>Control &amp; Monitoring Systems</w:t>
            </w:r>
          </w:p>
          <w:p w:rsidR="00AE6A6B" w:rsidRPr="00522F01" w:rsidRDefault="00AE6A6B" w:rsidP="00AE6A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F01">
              <w:rPr>
                <w:rFonts w:ascii="Arial" w:hAnsi="Arial" w:cs="Arial"/>
              </w:rPr>
              <w:t>- Communications</w:t>
            </w:r>
          </w:p>
          <w:p w:rsidR="00AE6A6B" w:rsidRPr="00522F01" w:rsidRDefault="00AE6A6B" w:rsidP="00AE6A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F01">
              <w:rPr>
                <w:rFonts w:ascii="Arial" w:hAnsi="Arial" w:cs="Arial"/>
              </w:rPr>
              <w:t>- Water Systems</w:t>
            </w:r>
          </w:p>
          <w:p w:rsidR="00AE6A6B" w:rsidRPr="00522F01" w:rsidRDefault="00AE6A6B" w:rsidP="00AE6A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F01">
              <w:rPr>
                <w:rFonts w:ascii="Arial" w:hAnsi="Arial" w:cs="Arial"/>
              </w:rPr>
              <w:t>- Catering Equipment</w:t>
            </w:r>
          </w:p>
          <w:p w:rsidR="00AE6A6B" w:rsidRDefault="00AE6A6B" w:rsidP="00AE6A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F01">
              <w:rPr>
                <w:rFonts w:ascii="Arial" w:hAnsi="Arial" w:cs="Arial"/>
              </w:rPr>
              <w:t>- Diesel Engine Systems</w:t>
            </w:r>
            <w:r>
              <w:rPr>
                <w:rFonts w:ascii="Arial" w:hAnsi="Arial" w:cs="Arial"/>
              </w:rPr>
              <w:t xml:space="preserve"> (Main Engine)</w:t>
            </w:r>
          </w:p>
          <w:p w:rsidR="00AE6A6B" w:rsidRPr="00522F01" w:rsidRDefault="00AE6A6B" w:rsidP="00AE6A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:rsidR="00DB574A" w:rsidRPr="00522F01" w:rsidRDefault="00DB574A" w:rsidP="00AE6A6B">
      <w:pPr>
        <w:spacing w:after="120"/>
        <w:rPr>
          <w:rFonts w:ascii="Arial" w:hAnsi="Arial" w:cs="Arial"/>
        </w:rPr>
      </w:pPr>
    </w:p>
    <w:sectPr w:rsidR="00DB574A" w:rsidRPr="00522F01" w:rsidSect="005B65B2">
      <w:headerReference w:type="default" r:id="rId8"/>
      <w:pgSz w:w="11906" w:h="16838"/>
      <w:pgMar w:top="1719" w:right="1440" w:bottom="568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E6" w:rsidRDefault="00AC42E6" w:rsidP="00B80A21">
      <w:pPr>
        <w:spacing w:after="0" w:line="240" w:lineRule="auto"/>
      </w:pPr>
      <w:r>
        <w:separator/>
      </w:r>
    </w:p>
  </w:endnote>
  <w:endnote w:type="continuationSeparator" w:id="0">
    <w:p w:rsidR="00AC42E6" w:rsidRDefault="00AC42E6" w:rsidP="00B8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E6" w:rsidRDefault="00AC42E6" w:rsidP="00B80A21">
      <w:pPr>
        <w:spacing w:after="0" w:line="240" w:lineRule="auto"/>
      </w:pPr>
      <w:r>
        <w:separator/>
      </w:r>
    </w:p>
  </w:footnote>
  <w:footnote w:type="continuationSeparator" w:id="0">
    <w:p w:rsidR="00AC42E6" w:rsidRDefault="00AC42E6" w:rsidP="00B8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A21" w:rsidRPr="00372329" w:rsidRDefault="00B80A21" w:rsidP="00B80A21">
    <w:pPr>
      <w:spacing w:after="0" w:line="328" w:lineRule="auto"/>
      <w:ind w:right="269"/>
      <w:jc w:val="center"/>
      <w:rPr>
        <w:rFonts w:ascii="Arial" w:eastAsia="Arial" w:hAnsi="Arial" w:cs="Arial"/>
        <w:b/>
        <w:sz w:val="28"/>
        <w:szCs w:val="28"/>
      </w:rPr>
    </w:pPr>
    <w:r w:rsidRPr="00372329">
      <w:rPr>
        <w:rFonts w:ascii="Arial" w:eastAsia="Arial" w:hAnsi="Arial" w:cs="Arial"/>
        <w:b/>
        <w:sz w:val="28"/>
        <w:szCs w:val="28"/>
      </w:rPr>
      <w:t xml:space="preserve">Prequalification Scheme: Rolling Stock Engineering and </w:t>
    </w:r>
  </w:p>
  <w:p w:rsidR="00B80A21" w:rsidRPr="00372329" w:rsidRDefault="005B65B2" w:rsidP="00B80A21">
    <w:pPr>
      <w:spacing w:after="0" w:line="328" w:lineRule="auto"/>
      <w:ind w:right="153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Specialist Services</w:t>
    </w:r>
    <w:r w:rsidR="00B80A21" w:rsidRPr="00372329">
      <w:rPr>
        <w:rFonts w:ascii="Arial" w:eastAsia="Arial" w:hAnsi="Arial" w:cs="Arial"/>
        <w:b/>
        <w:sz w:val="28"/>
        <w:szCs w:val="28"/>
      </w:rPr>
      <w:t xml:space="preserve"> </w:t>
    </w:r>
  </w:p>
  <w:p w:rsidR="00B80A21" w:rsidRDefault="00DB574A" w:rsidP="00747AB0">
    <w:pPr>
      <w:spacing w:after="0" w:line="328" w:lineRule="auto"/>
      <w:ind w:right="153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List of Categories</w:t>
    </w:r>
    <w:r w:rsidR="00B80A21" w:rsidRPr="00372329">
      <w:rPr>
        <w:rFonts w:ascii="Arial" w:eastAsia="Arial" w:hAnsi="Arial" w:cs="Arial"/>
        <w:b/>
        <w:sz w:val="28"/>
        <w:szCs w:val="28"/>
      </w:rPr>
      <w:t xml:space="preserve"> and Capabilities</w:t>
    </w:r>
  </w:p>
  <w:p w:rsidR="005B65B2" w:rsidRPr="00747AB0" w:rsidRDefault="005B65B2" w:rsidP="00747AB0">
    <w:pPr>
      <w:spacing w:after="0" w:line="328" w:lineRule="auto"/>
      <w:ind w:right="15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03A9"/>
    <w:multiLevelType w:val="hybridMultilevel"/>
    <w:tmpl w:val="31ACDA06"/>
    <w:lvl w:ilvl="0" w:tplc="B8623680">
      <w:start w:val="1"/>
      <w:numFmt w:val="decimal"/>
      <w:lvlText w:val="A0%1."/>
      <w:lvlJc w:val="left"/>
      <w:pPr>
        <w:ind w:left="1134" w:hanging="283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0094990"/>
    <w:multiLevelType w:val="hybridMultilevel"/>
    <w:tmpl w:val="40186558"/>
    <w:lvl w:ilvl="0" w:tplc="B84828F8">
      <w:start w:val="1"/>
      <w:numFmt w:val="decimal"/>
      <w:lvlText w:val="C0%1."/>
      <w:lvlJc w:val="left"/>
      <w:pPr>
        <w:ind w:left="1134" w:hanging="283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3292DB0"/>
    <w:multiLevelType w:val="hybridMultilevel"/>
    <w:tmpl w:val="32FE99F2"/>
    <w:lvl w:ilvl="0" w:tplc="D5F6CF38">
      <w:start w:val="1"/>
      <w:numFmt w:val="decimal"/>
      <w:lvlText w:val="D0%1."/>
      <w:lvlJc w:val="left"/>
      <w:pPr>
        <w:ind w:left="1134" w:hanging="283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45418EC"/>
    <w:multiLevelType w:val="hybridMultilevel"/>
    <w:tmpl w:val="AAD4324E"/>
    <w:lvl w:ilvl="0" w:tplc="56381E46">
      <w:start w:val="1"/>
      <w:numFmt w:val="decimal"/>
      <w:lvlText w:val="B0%1."/>
      <w:lvlJc w:val="left"/>
      <w:pPr>
        <w:ind w:left="1134" w:hanging="283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23325CD"/>
    <w:multiLevelType w:val="hybridMultilevel"/>
    <w:tmpl w:val="B326473C"/>
    <w:lvl w:ilvl="0" w:tplc="0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3896001E"/>
    <w:multiLevelType w:val="hybridMultilevel"/>
    <w:tmpl w:val="5E066D0C"/>
    <w:lvl w:ilvl="0" w:tplc="0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549D56CD"/>
    <w:multiLevelType w:val="hybridMultilevel"/>
    <w:tmpl w:val="6ACEEC2A"/>
    <w:lvl w:ilvl="0" w:tplc="0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6A715169"/>
    <w:multiLevelType w:val="hybridMultilevel"/>
    <w:tmpl w:val="B9023772"/>
    <w:lvl w:ilvl="0" w:tplc="2CDAEE4E">
      <w:start w:val="1"/>
      <w:numFmt w:val="decimal"/>
      <w:lvlText w:val="F0%1."/>
      <w:lvlJc w:val="left"/>
      <w:pPr>
        <w:ind w:left="1134" w:hanging="283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75C67539"/>
    <w:multiLevelType w:val="hybridMultilevel"/>
    <w:tmpl w:val="18FE3F96"/>
    <w:lvl w:ilvl="0" w:tplc="AAA4FB08">
      <w:start w:val="1"/>
      <w:numFmt w:val="decimal"/>
      <w:lvlText w:val="E0%1."/>
      <w:lvlJc w:val="left"/>
      <w:pPr>
        <w:ind w:left="1134" w:hanging="283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21"/>
    <w:rsid w:val="000C6523"/>
    <w:rsid w:val="000F2C24"/>
    <w:rsid w:val="001D406E"/>
    <w:rsid w:val="00202674"/>
    <w:rsid w:val="0021212F"/>
    <w:rsid w:val="0032163F"/>
    <w:rsid w:val="00372329"/>
    <w:rsid w:val="003A6391"/>
    <w:rsid w:val="003E3DDB"/>
    <w:rsid w:val="0042355C"/>
    <w:rsid w:val="00436F8C"/>
    <w:rsid w:val="004E07A2"/>
    <w:rsid w:val="00522F01"/>
    <w:rsid w:val="00524270"/>
    <w:rsid w:val="005B65B2"/>
    <w:rsid w:val="005F1C64"/>
    <w:rsid w:val="0064105C"/>
    <w:rsid w:val="00662223"/>
    <w:rsid w:val="00747AB0"/>
    <w:rsid w:val="008667CE"/>
    <w:rsid w:val="008959B8"/>
    <w:rsid w:val="009466D3"/>
    <w:rsid w:val="00A57586"/>
    <w:rsid w:val="00AC29A3"/>
    <w:rsid w:val="00AC42E6"/>
    <w:rsid w:val="00AD6962"/>
    <w:rsid w:val="00AE6A6B"/>
    <w:rsid w:val="00B80A21"/>
    <w:rsid w:val="00B95F0D"/>
    <w:rsid w:val="00BA258D"/>
    <w:rsid w:val="00CA3C75"/>
    <w:rsid w:val="00CF698B"/>
    <w:rsid w:val="00DB574A"/>
    <w:rsid w:val="00E36F50"/>
    <w:rsid w:val="00E72A43"/>
    <w:rsid w:val="00F6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E242B-69F8-4071-8D77-5D9E3005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21"/>
  </w:style>
  <w:style w:type="paragraph" w:styleId="Footer">
    <w:name w:val="footer"/>
    <w:basedOn w:val="Normal"/>
    <w:link w:val="FooterChar"/>
    <w:uiPriority w:val="99"/>
    <w:unhideWhenUsed/>
    <w:rsid w:val="00B8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A21"/>
  </w:style>
  <w:style w:type="table" w:styleId="TableGrid">
    <w:name w:val="Table Grid"/>
    <w:basedOn w:val="TableNormal"/>
    <w:uiPriority w:val="59"/>
    <w:rsid w:val="00B8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B80A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B80A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62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5CBF-2414-4AF2-A708-C4B8B919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TfNSW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Burgess, Gary</dc:creator>
  <cp:lastModifiedBy>Anthony Antognoni</cp:lastModifiedBy>
  <cp:revision>2</cp:revision>
  <dcterms:created xsi:type="dcterms:W3CDTF">2017-07-27T23:22:00Z</dcterms:created>
  <dcterms:modified xsi:type="dcterms:W3CDTF">2017-07-27T23:22:00Z</dcterms:modified>
</cp:coreProperties>
</file>